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numPr>
          <w:ilvl w:val="0"/>
          <w:numId w:val="1"/>
        </w:numPr>
        <w:tabs>
          <w:tab w:pos="835" w:val="left" w:leader="none"/>
        </w:tabs>
        <w:spacing w:line="240" w:lineRule="auto" w:before="76" w:after="0"/>
        <w:ind w:left="835" w:right="0" w:hanging="359"/>
        <w:jc w:val="left"/>
        <w:rPr>
          <w:color w:val="365F91"/>
        </w:rPr>
      </w:pPr>
      <w:r>
        <w:rPr>
          <w:color w:val="365F91"/>
          <w:spacing w:val="-2"/>
        </w:rPr>
        <w:t>Alapfogalmak</w:t>
      </w:r>
    </w:p>
    <w:p>
      <w:pPr>
        <w:pStyle w:val="BodyText"/>
        <w:rPr>
          <w:rFonts w:ascii="Cambria"/>
          <w:sz w:val="32"/>
        </w:rPr>
      </w:pPr>
    </w:p>
    <w:p>
      <w:pPr>
        <w:pStyle w:val="BodyText"/>
        <w:rPr>
          <w:rFonts w:ascii="Cambria"/>
          <w:sz w:val="32"/>
        </w:rPr>
      </w:pPr>
    </w:p>
    <w:p>
      <w:pPr>
        <w:pStyle w:val="BodyText"/>
        <w:spacing w:before="323"/>
        <w:rPr>
          <w:rFonts w:ascii="Cambria"/>
          <w:sz w:val="32"/>
        </w:rPr>
      </w:pPr>
    </w:p>
    <w:p>
      <w:pPr>
        <w:pStyle w:val="Heading2"/>
        <w:numPr>
          <w:ilvl w:val="1"/>
          <w:numId w:val="1"/>
        </w:numPr>
        <w:tabs>
          <w:tab w:pos="1318" w:val="left" w:leader="none"/>
        </w:tabs>
        <w:spacing w:line="240" w:lineRule="auto" w:before="0" w:after="0"/>
        <w:ind w:left="1318" w:right="0" w:hanging="482"/>
        <w:jc w:val="left"/>
      </w:pPr>
      <w:r>
        <w:rPr>
          <w:color w:val="4F81BC"/>
        </w:rPr>
        <w:t>Felek,</w:t>
      </w:r>
      <w:r>
        <w:rPr>
          <w:color w:val="4F81BC"/>
          <w:spacing w:val="-8"/>
        </w:rPr>
        <w:t> </w:t>
      </w:r>
      <w:r>
        <w:rPr>
          <w:color w:val="4F81BC"/>
        </w:rPr>
        <w:t>viták</w:t>
      </w:r>
      <w:r>
        <w:rPr>
          <w:color w:val="4F81BC"/>
          <w:spacing w:val="-7"/>
        </w:rPr>
        <w:t> </w:t>
      </w:r>
      <w:r>
        <w:rPr>
          <w:color w:val="4F81BC"/>
        </w:rPr>
        <w:t>és</w:t>
      </w:r>
      <w:r>
        <w:rPr>
          <w:color w:val="4F81BC"/>
          <w:spacing w:val="-6"/>
        </w:rPr>
        <w:t> </w:t>
      </w:r>
      <w:r>
        <w:rPr>
          <w:color w:val="4F81BC"/>
          <w:spacing w:val="-2"/>
        </w:rPr>
        <w:t>konfliktusok</w:t>
      </w:r>
    </w:p>
    <w:p>
      <w:pPr>
        <w:pStyle w:val="BodyText"/>
        <w:rPr>
          <w:rFonts w:ascii="Cambria"/>
          <w:b/>
          <w:sz w:val="26"/>
        </w:rPr>
      </w:pPr>
    </w:p>
    <w:p>
      <w:pPr>
        <w:pStyle w:val="BodyText"/>
        <w:spacing w:before="145"/>
        <w:rPr>
          <w:rFonts w:ascii="Cambria"/>
          <w:b/>
          <w:sz w:val="26"/>
        </w:rPr>
      </w:pPr>
    </w:p>
    <w:p>
      <w:pPr>
        <w:pStyle w:val="BodyText"/>
        <w:spacing w:line="360" w:lineRule="auto"/>
        <w:ind w:left="116" w:right="212"/>
        <w:jc w:val="both"/>
      </w:pPr>
      <w:r>
        <w:rPr/>
        <w:t>Amikor tárgyalásról, vagy konfliktuskezelésről ír az ember, az egyszerűség kedvéért gyakran a felek kifejezést használja. A </w:t>
      </w:r>
      <w:r>
        <w:rPr>
          <w:i/>
        </w:rPr>
        <w:t>felek</w:t>
      </w:r>
      <w:r>
        <w:rPr>
          <w:i/>
          <w:spacing w:val="-1"/>
        </w:rPr>
        <w:t> </w:t>
      </w:r>
      <w:r>
        <w:rPr/>
        <w:t>teljesen semleges kifejezés. Jelenthet tárgyalókat,</w:t>
      </w:r>
      <w:r>
        <w:rPr>
          <w:spacing w:val="-2"/>
        </w:rPr>
        <w:t> </w:t>
      </w:r>
      <w:r>
        <w:rPr/>
        <w:t>vitatkozókat, vagy akár elmélyült konfliktusban álló embereket vagy csoportokat. Jelenthet két, vagy akár több szereplőt, és végül jelenthet szimmetrikus, vagy aszimmetrikus kapcsolatban álló személyeket. Ezekről a helyzetekkel később részletesen is szó lesz.</w:t>
      </w:r>
    </w:p>
    <w:p>
      <w:pPr>
        <w:pStyle w:val="BodyText"/>
        <w:spacing w:line="360" w:lineRule="auto" w:before="200"/>
        <w:ind w:left="116" w:right="211"/>
        <w:jc w:val="both"/>
      </w:pPr>
      <w:r>
        <w:rPr>
          <w:i/>
        </w:rPr>
        <w:t>Tárgyalás</w:t>
      </w:r>
      <w:r>
        <w:rPr/>
        <w:t>nak azt nevezzük, amikor az egymással közös és eltérő érdekekkel rendelkező felek egymással közvetlenül egy strukturált kommunikációs folyamatot indítanak el annak érdekében,</w:t>
      </w:r>
      <w:r>
        <w:rPr>
          <w:spacing w:val="80"/>
        </w:rPr>
        <w:t> </w:t>
      </w:r>
      <w:r>
        <w:rPr/>
        <w:t>hogy kölcsönösen elfogadható megoldásra jussanak. Ezeket a folyamatokat, amelyekben csak az érintettek</w:t>
      </w:r>
      <w:r>
        <w:rPr>
          <w:spacing w:val="-4"/>
        </w:rPr>
        <w:t> </w:t>
      </w:r>
      <w:r>
        <w:rPr/>
        <w:t>vesznek</w:t>
      </w:r>
      <w:r>
        <w:rPr>
          <w:spacing w:val="-2"/>
        </w:rPr>
        <w:t> </w:t>
      </w:r>
      <w:r>
        <w:rPr/>
        <w:t>részt,</w:t>
      </w:r>
      <w:r>
        <w:rPr>
          <w:spacing w:val="-4"/>
        </w:rPr>
        <w:t> </w:t>
      </w:r>
      <w:r>
        <w:rPr>
          <w:i/>
        </w:rPr>
        <w:t>közvetlen</w:t>
      </w:r>
      <w:r>
        <w:rPr>
          <w:i/>
          <w:spacing w:val="-2"/>
        </w:rPr>
        <w:t> </w:t>
      </w:r>
      <w:r>
        <w:rPr>
          <w:i/>
        </w:rPr>
        <w:t>tárgyalásnak</w:t>
      </w:r>
      <w:r>
        <w:rPr/>
        <w:t>,</w:t>
      </w:r>
      <w:r>
        <w:rPr>
          <w:spacing w:val="-2"/>
        </w:rPr>
        <w:t> </w:t>
      </w:r>
      <w:r>
        <w:rPr/>
        <w:t>vagy</w:t>
      </w:r>
      <w:r>
        <w:rPr>
          <w:spacing w:val="-4"/>
        </w:rPr>
        <w:t> </w:t>
      </w:r>
      <w:r>
        <w:rPr/>
        <w:t>röviden</w:t>
      </w:r>
      <w:r>
        <w:rPr>
          <w:spacing w:val="-5"/>
        </w:rPr>
        <w:t> </w:t>
      </w:r>
      <w:r>
        <w:rPr/>
        <w:t>tárgyalásnak</w:t>
      </w:r>
      <w:r>
        <w:rPr>
          <w:spacing w:val="-2"/>
        </w:rPr>
        <w:t> </w:t>
      </w:r>
      <w:r>
        <w:rPr/>
        <w:t>nevezzük</w:t>
      </w:r>
      <w:r>
        <w:rPr>
          <w:spacing w:val="-2"/>
        </w:rPr>
        <w:t> </w:t>
      </w:r>
      <w:r>
        <w:rPr/>
        <w:t>a</w:t>
      </w:r>
      <w:r>
        <w:rPr>
          <w:spacing w:val="-2"/>
        </w:rPr>
        <w:t> </w:t>
      </w:r>
      <w:r>
        <w:rPr/>
        <w:t>továbbiakban.</w:t>
      </w:r>
    </w:p>
    <w:p>
      <w:pPr>
        <w:pStyle w:val="BodyText"/>
        <w:spacing w:line="360" w:lineRule="auto" w:before="201"/>
        <w:ind w:left="116" w:right="211"/>
        <w:jc w:val="both"/>
      </w:pPr>
      <w:r>
        <w:rPr>
          <w:i/>
        </w:rPr>
        <w:t>Vitá</w:t>
      </w:r>
      <w:r>
        <w:rPr/>
        <w:t>ról akkor beszélünk, amikor emberek vagy csoportok véleményei ütköznek. A vita feltétele, hogy</w:t>
      </w:r>
      <w:r>
        <w:rPr>
          <w:spacing w:val="40"/>
        </w:rPr>
        <w:t> </w:t>
      </w:r>
      <w:r>
        <w:rPr/>
        <w:t>a felek úgy érzik, hogy egy adott ügyről vagy témáról</w:t>
      </w:r>
      <w:r>
        <w:rPr>
          <w:spacing w:val="-2"/>
        </w:rPr>
        <w:t> </w:t>
      </w:r>
      <w:r>
        <w:rPr/>
        <w:t>kialakított véleményük vagy álláspontjuk eltérő. Emellett azonban az is feltétele a vitának, hogy legyen valami, ami összeköti a feleket, ami miatt ütköznek az eltérő álláspontok. A vélemények eltérése különbözőképpen kerülhet felszínre: kiderülhet cselekedetekből, választásokból, vagy az álláspontok verbális vagy nem verbális kinyilvánításából. Vita akkor van, amikor a szereplők egymással szemben állva kifejezik és ütköztetik álláspontjaikat. Ez megtörténhet kusza, heves és érzelmes formában, vagy higgadt és racionális párbeszédben. A</w:t>
      </w:r>
      <w:r>
        <w:rPr>
          <w:spacing w:val="-2"/>
        </w:rPr>
        <w:t> </w:t>
      </w:r>
      <w:r>
        <w:rPr/>
        <w:t>vita</w:t>
      </w:r>
      <w:r>
        <w:rPr>
          <w:spacing w:val="-1"/>
        </w:rPr>
        <w:t> </w:t>
      </w:r>
      <w:r>
        <w:rPr/>
        <w:t>célja</w:t>
      </w:r>
      <w:r>
        <w:rPr>
          <w:spacing w:val="-4"/>
        </w:rPr>
        <w:t> </w:t>
      </w:r>
      <w:r>
        <w:rPr/>
        <w:t>általában a</w:t>
      </w:r>
      <w:r>
        <w:rPr>
          <w:spacing w:val="-4"/>
        </w:rPr>
        <w:t> </w:t>
      </w:r>
      <w:r>
        <w:rPr/>
        <w:t>másik</w:t>
      </w:r>
      <w:r>
        <w:rPr>
          <w:spacing w:val="-4"/>
        </w:rPr>
        <w:t> </w:t>
      </w:r>
      <w:r>
        <w:rPr/>
        <w:t>meggyőzése,</w:t>
      </w:r>
      <w:r>
        <w:rPr>
          <w:spacing w:val="-1"/>
        </w:rPr>
        <w:t> </w:t>
      </w:r>
      <w:r>
        <w:rPr/>
        <w:t>vagy valamely,</w:t>
      </w:r>
      <w:r>
        <w:rPr>
          <w:spacing w:val="-1"/>
        </w:rPr>
        <w:t> </w:t>
      </w:r>
      <w:r>
        <w:rPr/>
        <w:t>a</w:t>
      </w:r>
      <w:r>
        <w:rPr>
          <w:spacing w:val="-1"/>
        </w:rPr>
        <w:t> </w:t>
      </w:r>
      <w:r>
        <w:rPr/>
        <w:t>felek</w:t>
      </w:r>
      <w:r>
        <w:rPr>
          <w:spacing w:val="-3"/>
        </w:rPr>
        <w:t> </w:t>
      </w:r>
      <w:r>
        <w:rPr/>
        <w:t>számára</w:t>
      </w:r>
      <w:r>
        <w:rPr>
          <w:spacing w:val="-2"/>
        </w:rPr>
        <w:t> </w:t>
      </w:r>
      <w:r>
        <w:rPr/>
        <w:t>elfogadható közös vélemény kialakítása.</w:t>
      </w:r>
    </w:p>
    <w:p>
      <w:pPr>
        <w:pStyle w:val="BodyText"/>
        <w:spacing w:line="360" w:lineRule="auto" w:before="200"/>
        <w:ind w:left="116" w:right="215"/>
        <w:jc w:val="both"/>
      </w:pPr>
      <w:r>
        <w:rPr>
          <w:i/>
        </w:rPr>
        <w:t>Konfliktus </w:t>
      </w:r>
      <w:r>
        <w:rPr/>
        <w:t>akkor alakul ki, amikor az</w:t>
      </w:r>
      <w:r>
        <w:rPr>
          <w:spacing w:val="-1"/>
        </w:rPr>
        <w:t> </w:t>
      </w:r>
      <w:r>
        <w:rPr/>
        <w:t>adott ügyben egymásra utalt szereplők (egyének</w:t>
      </w:r>
      <w:r>
        <w:rPr>
          <w:spacing w:val="-1"/>
        </w:rPr>
        <w:t> </w:t>
      </w:r>
      <w:r>
        <w:rPr/>
        <w:t>vagy csoportok) úgy érzékelik, hogy cselekedeteik vagy álláspontjaik összeegyeztethetetlenek. Egymásrautaltságuk</w:t>
      </w:r>
      <w:r>
        <w:rPr>
          <w:spacing w:val="80"/>
        </w:rPr>
        <w:t> </w:t>
      </w:r>
      <w:r>
        <w:rPr/>
        <w:t>azt jelenti, hogy szükségesnek látják a</w:t>
      </w:r>
      <w:r>
        <w:rPr>
          <w:spacing w:val="-2"/>
        </w:rPr>
        <w:t> </w:t>
      </w:r>
      <w:r>
        <w:rPr/>
        <w:t>konfliktus feloldását, mert különben saját</w:t>
      </w:r>
      <w:r>
        <w:rPr>
          <w:spacing w:val="-2"/>
        </w:rPr>
        <w:t> </w:t>
      </w:r>
      <w:r>
        <w:rPr/>
        <w:t>vagy egymás érdekei vagy értékei ellen cselekszenek, vagy érdekeik/értékeik sérülnek.</w:t>
      </w:r>
    </w:p>
    <w:p>
      <w:pPr>
        <w:pStyle w:val="BodyText"/>
        <w:spacing w:line="360" w:lineRule="auto" w:before="201"/>
        <w:ind w:left="116" w:right="211"/>
        <w:jc w:val="both"/>
      </w:pPr>
      <w:r>
        <w:rPr/>
        <w:t>Viták vagy konfliktusok során előfordulhat, hogy a vitában álló felek kapcsolata olyan mértékben megromlik, vagy a felek problémalátása olyan mértékben ellentétessé válik, hogy már nem látnak esélyt</w:t>
      </w:r>
      <w:r>
        <w:rPr>
          <w:spacing w:val="23"/>
        </w:rPr>
        <w:t> </w:t>
      </w:r>
      <w:r>
        <w:rPr/>
        <w:t>arra,</w:t>
      </w:r>
      <w:r>
        <w:rPr>
          <w:spacing w:val="24"/>
        </w:rPr>
        <w:t> </w:t>
      </w:r>
      <w:r>
        <w:rPr/>
        <w:t>hogy</w:t>
      </w:r>
      <w:r>
        <w:rPr>
          <w:spacing w:val="23"/>
        </w:rPr>
        <w:t> </w:t>
      </w:r>
      <w:r>
        <w:rPr/>
        <w:t>közvetlen</w:t>
      </w:r>
      <w:r>
        <w:rPr>
          <w:spacing w:val="23"/>
        </w:rPr>
        <w:t> </w:t>
      </w:r>
      <w:r>
        <w:rPr/>
        <w:t>tárgyalással</w:t>
      </w:r>
      <w:r>
        <w:rPr>
          <w:spacing w:val="22"/>
        </w:rPr>
        <w:t> </w:t>
      </w:r>
      <w:r>
        <w:rPr/>
        <w:t>oldani</w:t>
      </w:r>
      <w:r>
        <w:rPr>
          <w:spacing w:val="22"/>
        </w:rPr>
        <w:t> </w:t>
      </w:r>
      <w:r>
        <w:rPr/>
        <w:t>tudják</w:t>
      </w:r>
      <w:r>
        <w:rPr>
          <w:spacing w:val="24"/>
        </w:rPr>
        <w:t> </w:t>
      </w:r>
      <w:r>
        <w:rPr/>
        <w:t>az</w:t>
      </w:r>
      <w:r>
        <w:rPr>
          <w:spacing w:val="22"/>
        </w:rPr>
        <w:t> </w:t>
      </w:r>
      <w:r>
        <w:rPr/>
        <w:t>ellentétet.</w:t>
      </w:r>
      <w:r>
        <w:rPr>
          <w:spacing w:val="23"/>
        </w:rPr>
        <w:t> </w:t>
      </w:r>
      <w:r>
        <w:rPr/>
        <w:t>Van,</w:t>
      </w:r>
      <w:r>
        <w:rPr>
          <w:spacing w:val="24"/>
        </w:rPr>
        <w:t> </w:t>
      </w:r>
      <w:r>
        <w:rPr/>
        <w:t>aki</w:t>
      </w:r>
      <w:r>
        <w:rPr>
          <w:spacing w:val="23"/>
        </w:rPr>
        <w:t> </w:t>
      </w:r>
      <w:r>
        <w:rPr/>
        <w:t>ilyenkor</w:t>
      </w:r>
      <w:r>
        <w:rPr>
          <w:spacing w:val="24"/>
        </w:rPr>
        <w:t> </w:t>
      </w:r>
      <w:r>
        <w:rPr/>
        <w:t>erőből</w:t>
      </w:r>
      <w:r>
        <w:rPr>
          <w:spacing w:val="23"/>
        </w:rPr>
        <w:t> </w:t>
      </w:r>
      <w:r>
        <w:rPr>
          <w:spacing w:val="-2"/>
        </w:rPr>
        <w:t>próbál</w:t>
      </w:r>
    </w:p>
    <w:p>
      <w:pPr>
        <w:spacing w:after="0" w:line="360" w:lineRule="auto"/>
        <w:jc w:val="both"/>
        <w:sectPr>
          <w:footerReference w:type="default" r:id="rId5"/>
          <w:type w:val="continuous"/>
          <w:pgSz w:w="11910" w:h="16840"/>
          <w:pgMar w:header="0" w:footer="1002" w:top="1320" w:bottom="1200" w:left="1300" w:right="1200"/>
          <w:pgNumType w:start="9"/>
        </w:sectPr>
      </w:pPr>
    </w:p>
    <w:p>
      <w:pPr>
        <w:pStyle w:val="BodyText"/>
        <w:spacing w:line="362" w:lineRule="auto" w:before="34"/>
        <w:ind w:left="116" w:right="215"/>
        <w:jc w:val="both"/>
      </w:pPr>
      <w:r>
        <w:rPr/>
        <w:t>megoldást találni (pl. hatalmi döntés, erőszak), van, aki a joghoz fordul (pl. bíróság), más a megegyezéshez keres segítséget (pl. mediátort vagy facilitátort hív).</w:t>
      </w:r>
    </w:p>
    <w:p>
      <w:pPr>
        <w:pStyle w:val="BodyText"/>
        <w:spacing w:line="360" w:lineRule="auto" w:before="195"/>
        <w:ind w:left="116" w:right="211"/>
        <w:jc w:val="both"/>
      </w:pPr>
      <w:r>
        <w:rPr>
          <w:i/>
        </w:rPr>
        <w:t>Konfliktuskezelésről</w:t>
      </w:r>
      <w:r>
        <w:rPr/>
        <w:t>, más néven </w:t>
      </w:r>
      <w:r>
        <w:rPr>
          <w:i/>
        </w:rPr>
        <w:t>alternatív vitarendezésről</w:t>
      </w:r>
      <w:r>
        <w:rPr>
          <w:i/>
          <w:vertAlign w:val="superscript"/>
        </w:rPr>
        <w:t>2</w:t>
      </w:r>
      <w:r>
        <w:rPr>
          <w:i/>
          <w:spacing w:val="-2"/>
          <w:vertAlign w:val="baseline"/>
        </w:rPr>
        <w:t> </w:t>
      </w:r>
      <w:r>
        <w:rPr>
          <w:vertAlign w:val="baseline"/>
        </w:rPr>
        <w:t>(AVR) akkor beszélünk, amikor a felek a konfliktusos helyzet feloldása érdekében</w:t>
      </w:r>
      <w:r>
        <w:rPr>
          <w:spacing w:val="-2"/>
          <w:vertAlign w:val="baseline"/>
        </w:rPr>
        <w:t> </w:t>
      </w:r>
      <w:r>
        <w:rPr>
          <w:vertAlign w:val="baseline"/>
        </w:rPr>
        <w:t>egy pártatlan</w:t>
      </w:r>
      <w:r>
        <w:rPr>
          <w:spacing w:val="-3"/>
          <w:vertAlign w:val="baseline"/>
        </w:rPr>
        <w:t> </w:t>
      </w:r>
      <w:r>
        <w:rPr>
          <w:vertAlign w:val="baseline"/>
        </w:rPr>
        <w:t>közvetítőt</w:t>
      </w:r>
      <w:r>
        <w:rPr>
          <w:spacing w:val="-2"/>
          <w:vertAlign w:val="baseline"/>
        </w:rPr>
        <w:t> </w:t>
      </w:r>
      <w:r>
        <w:rPr>
          <w:vertAlign w:val="baseline"/>
        </w:rPr>
        <w:t>(mediátort</w:t>
      </w:r>
      <w:r>
        <w:rPr>
          <w:spacing w:val="-2"/>
          <w:vertAlign w:val="baseline"/>
        </w:rPr>
        <w:t> </w:t>
      </w:r>
      <w:r>
        <w:rPr>
          <w:vertAlign w:val="baseline"/>
        </w:rPr>
        <w:t>vagy</w:t>
      </w:r>
      <w:r>
        <w:rPr>
          <w:spacing w:val="-1"/>
          <w:vertAlign w:val="baseline"/>
        </w:rPr>
        <w:t> </w:t>
      </w:r>
      <w:r>
        <w:rPr>
          <w:vertAlign w:val="baseline"/>
        </w:rPr>
        <w:t>facilitátort)</w:t>
      </w:r>
      <w:r>
        <w:rPr>
          <w:spacing w:val="-2"/>
          <w:vertAlign w:val="baseline"/>
        </w:rPr>
        <w:t> </w:t>
      </w:r>
      <w:r>
        <w:rPr>
          <w:vertAlign w:val="baseline"/>
        </w:rPr>
        <w:t>vonnak be annak érdekében, hogy segítse a vitában álló feleket számukra elfogadható megegyezésre jutni. Bár természetesen a jogi út, a hatalmi döntés és az erőszak is lehetséges és gyakran alkalmazott módja a konfliktusok kezelésének,</w:t>
      </w:r>
      <w:r>
        <w:rPr>
          <w:spacing w:val="40"/>
          <w:vertAlign w:val="baseline"/>
        </w:rPr>
        <w:t> </w:t>
      </w:r>
      <w:r>
        <w:rPr>
          <w:vertAlign w:val="baseline"/>
        </w:rPr>
        <w:t>azonban a konfliktuskezelés kifejezést általában a békés megoldásokra, a felek megegyezését közvetítővel segítő, AVR módszerekre használja a szakma és az irodalom. Amikor a továbbiakban a konfliktuskezelés magában, jelző nélkül szerepel ebben a jegyzetben, AVR módszertanon alapuló békés, közvetített konfliktuskezelést fog jelenteni.</w:t>
      </w:r>
    </w:p>
    <w:p>
      <w:pPr>
        <w:pStyle w:val="BodyText"/>
        <w:spacing w:line="360" w:lineRule="auto" w:before="203"/>
        <w:ind w:left="116" w:right="212"/>
        <w:jc w:val="both"/>
      </w:pPr>
      <w:r>
        <w:rPr/>
        <w:t>Az alapvető fogalmak tisztázása</w:t>
      </w:r>
      <w:r>
        <w:rPr>
          <w:spacing w:val="40"/>
        </w:rPr>
        <w:t> </w:t>
      </w:r>
      <w:r>
        <w:rPr/>
        <w:t>után nézzük meg, hogy honnan ered az együttműködő módszer és</w:t>
      </w:r>
      <w:r>
        <w:rPr>
          <w:spacing w:val="40"/>
        </w:rPr>
        <w:t> </w:t>
      </w:r>
      <w:r>
        <w:rPr/>
        <w:t>mi a lényege.</w:t>
      </w:r>
    </w:p>
    <w:p>
      <w:pPr>
        <w:pStyle w:val="BodyText"/>
      </w:pPr>
    </w:p>
    <w:p>
      <w:pPr>
        <w:pStyle w:val="BodyText"/>
      </w:pPr>
    </w:p>
    <w:p>
      <w:pPr>
        <w:pStyle w:val="BodyText"/>
        <w:spacing w:before="50"/>
      </w:pPr>
    </w:p>
    <w:p>
      <w:pPr>
        <w:pStyle w:val="Heading2"/>
        <w:numPr>
          <w:ilvl w:val="1"/>
          <w:numId w:val="1"/>
        </w:numPr>
        <w:tabs>
          <w:tab w:pos="599" w:val="left" w:leader="none"/>
        </w:tabs>
        <w:spacing w:line="240" w:lineRule="auto" w:before="0" w:after="0"/>
        <w:ind w:left="599" w:right="0" w:hanging="483"/>
        <w:jc w:val="left"/>
      </w:pPr>
      <w:r>
        <w:rPr>
          <w:color w:val="4F81BC"/>
        </w:rPr>
        <w:t>A</w:t>
      </w:r>
      <w:r>
        <w:rPr>
          <w:color w:val="4F81BC"/>
          <w:spacing w:val="-8"/>
        </w:rPr>
        <w:t> </w:t>
      </w:r>
      <w:r>
        <w:rPr>
          <w:color w:val="4F81BC"/>
        </w:rPr>
        <w:t>Harvard</w:t>
      </w:r>
      <w:r>
        <w:rPr>
          <w:color w:val="4F81BC"/>
          <w:spacing w:val="-5"/>
        </w:rPr>
        <w:t> </w:t>
      </w:r>
      <w:r>
        <w:rPr>
          <w:color w:val="4F81BC"/>
          <w:spacing w:val="-2"/>
        </w:rPr>
        <w:t>módszer</w:t>
      </w:r>
    </w:p>
    <w:p>
      <w:pPr>
        <w:pStyle w:val="BodyText"/>
        <w:rPr>
          <w:rFonts w:ascii="Cambria"/>
          <w:b/>
          <w:sz w:val="26"/>
        </w:rPr>
      </w:pPr>
    </w:p>
    <w:p>
      <w:pPr>
        <w:pStyle w:val="BodyText"/>
        <w:spacing w:before="146"/>
        <w:rPr>
          <w:rFonts w:ascii="Cambria"/>
          <w:b/>
          <w:sz w:val="26"/>
        </w:rPr>
      </w:pPr>
    </w:p>
    <w:p>
      <w:pPr>
        <w:pStyle w:val="BodyText"/>
        <w:spacing w:line="360" w:lineRule="auto"/>
        <w:ind w:left="116" w:right="211"/>
        <w:jc w:val="both"/>
      </w:pPr>
      <w:r>
        <w:rPr/>
        <w:t>1981-ben jelent meg Roger Fischer és William Ury, azóta több millió példányban kinyomtatott és</w:t>
      </w:r>
      <w:r>
        <w:rPr>
          <w:spacing w:val="40"/>
        </w:rPr>
        <w:t> </w:t>
      </w:r>
      <w:r>
        <w:rPr/>
        <w:t>több mint 30 nyelvre lefordított könyve, a Getting to Yes.</w:t>
      </w:r>
      <w:r>
        <w:rPr>
          <w:spacing w:val="-13"/>
        </w:rPr>
        <w:t> </w:t>
      </w:r>
      <w:r>
        <w:rPr>
          <w:vertAlign w:val="superscript"/>
        </w:rPr>
        <w:t>3</w:t>
      </w:r>
      <w:r>
        <w:rPr>
          <w:vertAlign w:val="baseline"/>
        </w:rPr>
        <w:t> A könyv azzal vált a korszerű tárgyalástechnika és konfliktuskezelés egyik alapművévé, hogy nagyon tiszta és közérthető formában fejtett ki</w:t>
      </w:r>
      <w:r>
        <w:rPr>
          <w:spacing w:val="-2"/>
          <w:vertAlign w:val="baseline"/>
        </w:rPr>
        <w:t> </w:t>
      </w:r>
      <w:r>
        <w:rPr>
          <w:vertAlign w:val="baseline"/>
        </w:rPr>
        <w:t>egy korszakalkotó gondolatot. A tárgyalástechnika oktatása korábban</w:t>
      </w:r>
      <w:r>
        <w:rPr>
          <w:spacing w:val="-1"/>
          <w:vertAlign w:val="baseline"/>
        </w:rPr>
        <w:t> </w:t>
      </w:r>
      <w:r>
        <w:rPr>
          <w:vertAlign w:val="baseline"/>
        </w:rPr>
        <w:t>arra koncentrált, hogy milyen tanácsot lehet adni az egyik félnek ahhoz, hogy a legnagyobb részt szerezhesse meg a tárgyalás tárgyát képező javakból. A könyvben a szerzők amellett érveltek, hogy mindenki jobban jár, ha a javak felosztása előtt inkább azon gondolkodnak</w:t>
      </w:r>
      <w:r>
        <w:rPr>
          <w:spacing w:val="-1"/>
          <w:vertAlign w:val="baseline"/>
        </w:rPr>
        <w:t> </w:t>
      </w:r>
      <w:r>
        <w:rPr>
          <w:vertAlign w:val="baseline"/>
        </w:rPr>
        <w:t>el közösen a felek, hogy mi</w:t>
      </w:r>
      <w:r>
        <w:rPr>
          <w:spacing w:val="-1"/>
          <w:vertAlign w:val="baseline"/>
        </w:rPr>
        <w:t> </w:t>
      </w:r>
      <w:r>
        <w:rPr>
          <w:vertAlign w:val="baseline"/>
        </w:rPr>
        <w:t>a legjobb</w:t>
      </w:r>
      <w:r>
        <w:rPr>
          <w:spacing w:val="-2"/>
          <w:vertAlign w:val="baseline"/>
        </w:rPr>
        <w:t> </w:t>
      </w:r>
      <w:r>
        <w:rPr>
          <w:vertAlign w:val="baseline"/>
        </w:rPr>
        <w:t>megoldás, vagyis hogyan bővíthetőek az „asztalon fekvő javak”. Hiszen ha jobb megoldás születik, ami több értéket tartalmaz, többet oszthatnak szét és akár mindenki jobban járhat. A könyv által részletesen bemutatott</w:t>
      </w:r>
      <w:r>
        <w:rPr>
          <w:spacing w:val="64"/>
          <w:vertAlign w:val="baseline"/>
        </w:rPr>
        <w:t>  </w:t>
      </w:r>
      <w:r>
        <w:rPr>
          <w:vertAlign w:val="baseline"/>
        </w:rPr>
        <w:t>együttműködő</w:t>
      </w:r>
      <w:r>
        <w:rPr>
          <w:spacing w:val="64"/>
          <w:vertAlign w:val="baseline"/>
        </w:rPr>
        <w:t>  </w:t>
      </w:r>
      <w:r>
        <w:rPr>
          <w:vertAlign w:val="baseline"/>
        </w:rPr>
        <w:t>tárgyalás</w:t>
      </w:r>
      <w:r>
        <w:rPr>
          <w:spacing w:val="64"/>
          <w:vertAlign w:val="baseline"/>
        </w:rPr>
        <w:t>  </w:t>
      </w:r>
      <w:r>
        <w:rPr>
          <w:vertAlign w:val="baseline"/>
        </w:rPr>
        <w:t>módszere,</w:t>
      </w:r>
      <w:r>
        <w:rPr>
          <w:spacing w:val="66"/>
          <w:vertAlign w:val="baseline"/>
        </w:rPr>
        <w:t> </w:t>
      </w:r>
      <w:r>
        <w:rPr>
          <w:vertAlign w:val="superscript"/>
        </w:rPr>
        <w:t>4</w:t>
      </w:r>
      <w:r>
        <w:rPr>
          <w:spacing w:val="64"/>
          <w:vertAlign w:val="baseline"/>
        </w:rPr>
        <w:t> </w:t>
      </w:r>
      <w:r>
        <w:rPr>
          <w:vertAlign w:val="baseline"/>
        </w:rPr>
        <w:t>paradigmaváltást</w:t>
      </w:r>
      <w:r>
        <w:rPr>
          <w:spacing w:val="63"/>
          <w:vertAlign w:val="baseline"/>
        </w:rPr>
        <w:t>  </w:t>
      </w:r>
      <w:r>
        <w:rPr>
          <w:vertAlign w:val="baseline"/>
        </w:rPr>
        <w:t>jelentett</w:t>
      </w:r>
      <w:r>
        <w:rPr>
          <w:spacing w:val="63"/>
          <w:vertAlign w:val="baseline"/>
        </w:rPr>
        <w:t>  </w:t>
      </w:r>
      <w:r>
        <w:rPr>
          <w:vertAlign w:val="baseline"/>
        </w:rPr>
        <w:t>a</w:t>
      </w:r>
      <w:r>
        <w:rPr>
          <w:spacing w:val="64"/>
          <w:vertAlign w:val="baseline"/>
        </w:rPr>
        <w:t>  </w:t>
      </w:r>
      <w:r>
        <w:rPr>
          <w:spacing w:val="-2"/>
          <w:vertAlign w:val="baseline"/>
        </w:rPr>
        <w:t>korábban</w:t>
      </w:r>
    </w:p>
    <w:p>
      <w:pPr>
        <w:pStyle w:val="BodyText"/>
        <w:spacing w:before="1"/>
        <w:rPr>
          <w:sz w:val="18"/>
        </w:rPr>
      </w:pPr>
      <w:r>
        <w:rPr/>
        <mc:AlternateContent>
          <mc:Choice Requires="wps">
            <w:drawing>
              <wp:anchor distT="0" distB="0" distL="0" distR="0" allowOverlap="1" layoutInCell="1" locked="0" behindDoc="1" simplePos="0" relativeHeight="487587840">
                <wp:simplePos x="0" y="0"/>
                <wp:positionH relativeFrom="page">
                  <wp:posOffset>899464</wp:posOffset>
                </wp:positionH>
                <wp:positionV relativeFrom="paragraph">
                  <wp:posOffset>155840</wp:posOffset>
                </wp:positionV>
                <wp:extent cx="1829435" cy="9525"/>
                <wp:effectExtent l="0" t="0" r="0" b="0"/>
                <wp:wrapTopAndBottom/>
                <wp:docPr id="2" name="Graphic 2"/>
                <wp:cNvGraphicFramePr>
                  <a:graphicFrameLocks/>
                </wp:cNvGraphicFramePr>
                <a:graphic>
                  <a:graphicData uri="http://schemas.microsoft.com/office/word/2010/wordprocessingShape">
                    <wps:wsp>
                      <wps:cNvPr id="2" name="Graphic 2"/>
                      <wps:cNvSpPr/>
                      <wps:spPr>
                        <a:xfrm>
                          <a:off x="0" y="0"/>
                          <a:ext cx="1829435" cy="9525"/>
                        </a:xfrm>
                        <a:custGeom>
                          <a:avLst/>
                          <a:gdLst/>
                          <a:ahLst/>
                          <a:cxnLst/>
                          <a:rect l="l" t="t" r="r" b="b"/>
                          <a:pathLst>
                            <a:path w="1829435" h="9525">
                              <a:moveTo>
                                <a:pt x="1829053" y="0"/>
                              </a:moveTo>
                              <a:lnTo>
                                <a:pt x="0" y="0"/>
                              </a:lnTo>
                              <a:lnTo>
                                <a:pt x="0" y="9143"/>
                              </a:lnTo>
                              <a:lnTo>
                                <a:pt x="1829053" y="9143"/>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823997pt;margin-top:12.27087pt;width:144.020pt;height:.71997pt;mso-position-horizontal-relative:page;mso-position-vertical-relative:paragraph;z-index:-15728640;mso-wrap-distance-left:0;mso-wrap-distance-right:0" id="docshape2" filled="true" fillcolor="#000000" stroked="false">
                <v:fill type="solid"/>
                <w10:wrap type="topAndBottom"/>
              </v:rect>
            </w:pict>
          </mc:Fallback>
        </mc:AlternateContent>
      </w:r>
    </w:p>
    <w:p>
      <w:pPr>
        <w:spacing w:before="102"/>
        <w:ind w:left="116" w:right="0" w:firstLine="0"/>
        <w:jc w:val="left"/>
        <w:rPr>
          <w:sz w:val="20"/>
        </w:rPr>
      </w:pPr>
      <w:r>
        <w:rPr>
          <w:sz w:val="20"/>
          <w:vertAlign w:val="superscript"/>
        </w:rPr>
        <w:t>2</w:t>
      </w:r>
      <w:r>
        <w:rPr>
          <w:spacing w:val="-3"/>
          <w:sz w:val="20"/>
          <w:vertAlign w:val="baseline"/>
        </w:rPr>
        <w:t> </w:t>
      </w:r>
      <w:r>
        <w:rPr>
          <w:sz w:val="20"/>
          <w:vertAlign w:val="baseline"/>
        </w:rPr>
        <w:t>Alternativ</w:t>
      </w:r>
      <w:r>
        <w:rPr>
          <w:spacing w:val="-3"/>
          <w:sz w:val="20"/>
          <w:vertAlign w:val="baseline"/>
        </w:rPr>
        <w:t> </w:t>
      </w:r>
      <w:r>
        <w:rPr>
          <w:sz w:val="20"/>
          <w:vertAlign w:val="baseline"/>
        </w:rPr>
        <w:t>vitarendezés,</w:t>
      </w:r>
      <w:r>
        <w:rPr>
          <w:spacing w:val="-2"/>
          <w:sz w:val="20"/>
          <w:vertAlign w:val="baseline"/>
        </w:rPr>
        <w:t> </w:t>
      </w:r>
      <w:r>
        <w:rPr>
          <w:sz w:val="20"/>
          <w:vertAlign w:val="baseline"/>
        </w:rPr>
        <w:t>vagy az</w:t>
      </w:r>
      <w:r>
        <w:rPr>
          <w:spacing w:val="-2"/>
          <w:sz w:val="20"/>
          <w:vertAlign w:val="baseline"/>
        </w:rPr>
        <w:t> </w:t>
      </w:r>
      <w:r>
        <w:rPr>
          <w:sz w:val="20"/>
          <w:vertAlign w:val="baseline"/>
        </w:rPr>
        <w:t>AVR</w:t>
      </w:r>
      <w:r>
        <w:rPr>
          <w:spacing w:val="-2"/>
          <w:sz w:val="20"/>
          <w:vertAlign w:val="baseline"/>
        </w:rPr>
        <w:t> </w:t>
      </w:r>
      <w:r>
        <w:rPr>
          <w:sz w:val="20"/>
          <w:vertAlign w:val="baseline"/>
        </w:rPr>
        <w:t>betűszóban</w:t>
      </w:r>
      <w:r>
        <w:rPr>
          <w:spacing w:val="-1"/>
          <w:sz w:val="20"/>
          <w:vertAlign w:val="baseline"/>
        </w:rPr>
        <w:t> </w:t>
      </w:r>
      <w:r>
        <w:rPr>
          <w:sz w:val="20"/>
          <w:vertAlign w:val="baseline"/>
        </w:rPr>
        <w:t>az</w:t>
      </w:r>
      <w:r>
        <w:rPr>
          <w:spacing w:val="-1"/>
          <w:sz w:val="20"/>
          <w:vertAlign w:val="baseline"/>
        </w:rPr>
        <w:t> </w:t>
      </w:r>
      <w:r>
        <w:rPr>
          <w:sz w:val="20"/>
          <w:vertAlign w:val="baseline"/>
        </w:rPr>
        <w:t>alternatív</w:t>
      </w:r>
      <w:r>
        <w:rPr>
          <w:spacing w:val="40"/>
          <w:sz w:val="20"/>
          <w:vertAlign w:val="baseline"/>
        </w:rPr>
        <w:t> </w:t>
      </w:r>
      <w:r>
        <w:rPr>
          <w:sz w:val="20"/>
          <w:vertAlign w:val="baseline"/>
        </w:rPr>
        <w:t>kifejezés</w:t>
      </w:r>
      <w:r>
        <w:rPr>
          <w:spacing w:val="-4"/>
          <w:sz w:val="20"/>
          <w:vertAlign w:val="baseline"/>
        </w:rPr>
        <w:t> </w:t>
      </w:r>
      <w:r>
        <w:rPr>
          <w:sz w:val="20"/>
          <w:vertAlign w:val="baseline"/>
        </w:rPr>
        <w:t>arra</w:t>
      </w:r>
      <w:r>
        <w:rPr>
          <w:spacing w:val="-2"/>
          <w:sz w:val="20"/>
          <w:vertAlign w:val="baseline"/>
        </w:rPr>
        <w:t> </w:t>
      </w:r>
      <w:r>
        <w:rPr>
          <w:sz w:val="20"/>
          <w:vertAlign w:val="baseline"/>
        </w:rPr>
        <w:t>utal,</w:t>
      </w:r>
      <w:r>
        <w:rPr>
          <w:spacing w:val="-2"/>
          <w:sz w:val="20"/>
          <w:vertAlign w:val="baseline"/>
        </w:rPr>
        <w:t> </w:t>
      </w:r>
      <w:r>
        <w:rPr>
          <w:sz w:val="20"/>
          <w:vertAlign w:val="baseline"/>
        </w:rPr>
        <w:t>hogy</w:t>
      </w:r>
      <w:r>
        <w:rPr>
          <w:spacing w:val="-2"/>
          <w:sz w:val="20"/>
          <w:vertAlign w:val="baseline"/>
        </w:rPr>
        <w:t> </w:t>
      </w:r>
      <w:r>
        <w:rPr>
          <w:sz w:val="20"/>
          <w:vertAlign w:val="baseline"/>
        </w:rPr>
        <w:t>a</w:t>
      </w:r>
      <w:r>
        <w:rPr>
          <w:spacing w:val="-1"/>
          <w:sz w:val="20"/>
          <w:vertAlign w:val="baseline"/>
        </w:rPr>
        <w:t> </w:t>
      </w:r>
      <w:r>
        <w:rPr>
          <w:sz w:val="20"/>
          <w:vertAlign w:val="baseline"/>
        </w:rPr>
        <w:t>módszer</w:t>
      </w:r>
      <w:r>
        <w:rPr>
          <w:spacing w:val="-3"/>
          <w:sz w:val="20"/>
          <w:vertAlign w:val="baseline"/>
        </w:rPr>
        <w:t> </w:t>
      </w:r>
      <w:r>
        <w:rPr>
          <w:sz w:val="20"/>
          <w:vertAlign w:val="baseline"/>
        </w:rPr>
        <w:t>a</w:t>
      </w:r>
      <w:r>
        <w:rPr>
          <w:spacing w:val="-1"/>
          <w:sz w:val="20"/>
          <w:vertAlign w:val="baseline"/>
        </w:rPr>
        <w:t> </w:t>
      </w:r>
      <w:r>
        <w:rPr>
          <w:sz w:val="20"/>
          <w:vertAlign w:val="baseline"/>
        </w:rPr>
        <w:t>jogi</w:t>
      </w:r>
      <w:r>
        <w:rPr>
          <w:spacing w:val="-3"/>
          <w:sz w:val="20"/>
          <w:vertAlign w:val="baseline"/>
        </w:rPr>
        <w:t> </w:t>
      </w:r>
      <w:r>
        <w:rPr>
          <w:sz w:val="20"/>
          <w:vertAlign w:val="baseline"/>
        </w:rPr>
        <w:t>út/a bírósági eljárás alternatívája.</w:t>
      </w:r>
    </w:p>
    <w:p>
      <w:pPr>
        <w:spacing w:before="0"/>
        <w:ind w:left="116" w:right="164" w:firstLine="0"/>
        <w:jc w:val="left"/>
        <w:rPr>
          <w:sz w:val="22"/>
        </w:rPr>
      </w:pPr>
      <w:r>
        <w:rPr>
          <w:sz w:val="20"/>
          <w:vertAlign w:val="superscript"/>
        </w:rPr>
        <w:t>3</w:t>
      </w:r>
      <w:r>
        <w:rPr>
          <w:sz w:val="20"/>
          <w:vertAlign w:val="baseline"/>
        </w:rPr>
        <w:t> Fisher, R., - Ury, W.. (1981). </w:t>
      </w:r>
      <w:r>
        <w:rPr>
          <w:i/>
          <w:sz w:val="20"/>
          <w:vertAlign w:val="baseline"/>
        </w:rPr>
        <w:t>Getting to Yes: negotiating Agreement Without Giving In. </w:t>
      </w:r>
      <w:r>
        <w:rPr>
          <w:sz w:val="20"/>
          <w:vertAlign w:val="baseline"/>
        </w:rPr>
        <w:t>New York: Penguin Books.</w:t>
      </w:r>
      <w:r>
        <w:rPr>
          <w:spacing w:val="-4"/>
          <w:sz w:val="20"/>
          <w:vertAlign w:val="baseline"/>
        </w:rPr>
        <w:t> </w:t>
      </w:r>
      <w:r>
        <w:rPr>
          <w:sz w:val="20"/>
          <w:vertAlign w:val="baseline"/>
        </w:rPr>
        <w:t>A</w:t>
      </w:r>
      <w:r>
        <w:rPr>
          <w:spacing w:val="-3"/>
          <w:sz w:val="20"/>
          <w:vertAlign w:val="baseline"/>
        </w:rPr>
        <w:t> </w:t>
      </w:r>
      <w:r>
        <w:rPr>
          <w:sz w:val="20"/>
          <w:vertAlign w:val="baseline"/>
        </w:rPr>
        <w:t>második</w:t>
      </w:r>
      <w:r>
        <w:rPr>
          <w:spacing w:val="-3"/>
          <w:sz w:val="20"/>
          <w:vertAlign w:val="baseline"/>
        </w:rPr>
        <w:t> </w:t>
      </w:r>
      <w:r>
        <w:rPr>
          <w:sz w:val="20"/>
          <w:vertAlign w:val="baseline"/>
        </w:rPr>
        <w:t>kiadás</w:t>
      </w:r>
      <w:r>
        <w:rPr>
          <w:spacing w:val="-4"/>
          <w:sz w:val="20"/>
          <w:vertAlign w:val="baseline"/>
        </w:rPr>
        <w:t> </w:t>
      </w:r>
      <w:r>
        <w:rPr>
          <w:sz w:val="20"/>
          <w:vertAlign w:val="baseline"/>
        </w:rPr>
        <w:t>alapján készült</w:t>
      </w:r>
      <w:r>
        <w:rPr>
          <w:spacing w:val="-3"/>
          <w:sz w:val="20"/>
          <w:vertAlign w:val="baseline"/>
        </w:rPr>
        <w:t> </w:t>
      </w:r>
      <w:r>
        <w:rPr>
          <w:sz w:val="20"/>
          <w:vertAlign w:val="baseline"/>
        </w:rPr>
        <w:t>magyar</w:t>
      </w:r>
      <w:r>
        <w:rPr>
          <w:spacing w:val="-3"/>
          <w:sz w:val="20"/>
          <w:vertAlign w:val="baseline"/>
        </w:rPr>
        <w:t> </w:t>
      </w:r>
      <w:r>
        <w:rPr>
          <w:sz w:val="20"/>
          <w:vertAlign w:val="baseline"/>
        </w:rPr>
        <w:t>fordítás: Fisher,</w:t>
      </w:r>
      <w:r>
        <w:rPr>
          <w:spacing w:val="-2"/>
          <w:sz w:val="20"/>
          <w:vertAlign w:val="baseline"/>
        </w:rPr>
        <w:t> </w:t>
      </w:r>
      <w:r>
        <w:rPr>
          <w:sz w:val="20"/>
          <w:vertAlign w:val="baseline"/>
        </w:rPr>
        <w:t>Roger</w:t>
      </w:r>
      <w:r>
        <w:rPr>
          <w:spacing w:val="-4"/>
          <w:sz w:val="20"/>
          <w:vertAlign w:val="baseline"/>
        </w:rPr>
        <w:t> </w:t>
      </w:r>
      <w:r>
        <w:rPr>
          <w:sz w:val="20"/>
          <w:vertAlign w:val="baseline"/>
        </w:rPr>
        <w:t>-</w:t>
      </w:r>
      <w:r>
        <w:rPr>
          <w:spacing w:val="-4"/>
          <w:sz w:val="20"/>
          <w:vertAlign w:val="baseline"/>
        </w:rPr>
        <w:t> </w:t>
      </w:r>
      <w:r>
        <w:rPr>
          <w:sz w:val="20"/>
          <w:vertAlign w:val="baseline"/>
        </w:rPr>
        <w:t>William</w:t>
      </w:r>
      <w:r>
        <w:rPr>
          <w:spacing w:val="-1"/>
          <w:sz w:val="20"/>
          <w:vertAlign w:val="baseline"/>
        </w:rPr>
        <w:t> </w:t>
      </w:r>
      <w:r>
        <w:rPr>
          <w:sz w:val="20"/>
          <w:vertAlign w:val="baseline"/>
        </w:rPr>
        <w:t>Ury</w:t>
      </w:r>
      <w:r>
        <w:rPr>
          <w:spacing w:val="-2"/>
          <w:sz w:val="20"/>
          <w:vertAlign w:val="baseline"/>
        </w:rPr>
        <w:t> </w:t>
      </w:r>
      <w:r>
        <w:rPr>
          <w:sz w:val="20"/>
          <w:vertAlign w:val="baseline"/>
        </w:rPr>
        <w:t>-</w:t>
      </w:r>
      <w:r>
        <w:rPr>
          <w:spacing w:val="-4"/>
          <w:sz w:val="20"/>
          <w:vertAlign w:val="baseline"/>
        </w:rPr>
        <w:t> </w:t>
      </w:r>
      <w:r>
        <w:rPr>
          <w:sz w:val="20"/>
          <w:vertAlign w:val="baseline"/>
        </w:rPr>
        <w:t>Bruce</w:t>
      </w:r>
      <w:r>
        <w:rPr>
          <w:spacing w:val="-5"/>
          <w:sz w:val="20"/>
          <w:vertAlign w:val="baseline"/>
        </w:rPr>
        <w:t> </w:t>
      </w:r>
      <w:r>
        <w:rPr>
          <w:sz w:val="20"/>
          <w:vertAlign w:val="baseline"/>
        </w:rPr>
        <w:t>Patton:</w:t>
      </w:r>
      <w:r>
        <w:rPr>
          <w:spacing w:val="-2"/>
          <w:sz w:val="20"/>
          <w:vertAlign w:val="baseline"/>
        </w:rPr>
        <w:t> </w:t>
      </w:r>
      <w:r>
        <w:rPr>
          <w:i/>
          <w:sz w:val="20"/>
          <w:vertAlign w:val="baseline"/>
        </w:rPr>
        <w:t>A</w:t>
      </w:r>
      <w:r>
        <w:rPr>
          <w:i/>
          <w:spacing w:val="-4"/>
          <w:sz w:val="20"/>
          <w:vertAlign w:val="baseline"/>
        </w:rPr>
        <w:t> </w:t>
      </w:r>
      <w:r>
        <w:rPr>
          <w:i/>
          <w:sz w:val="20"/>
          <w:vertAlign w:val="baseline"/>
        </w:rPr>
        <w:t>sikeres</w:t>
      </w:r>
      <w:r>
        <w:rPr>
          <w:i/>
          <w:sz w:val="20"/>
          <w:vertAlign w:val="baseline"/>
        </w:rPr>
        <w:t> tárgyalás alapjai</w:t>
      </w:r>
      <w:r>
        <w:rPr>
          <w:sz w:val="20"/>
          <w:vertAlign w:val="baseline"/>
        </w:rPr>
        <w:t>. Bagolyvár Könyvkiadó Budapest. 1997</w:t>
      </w:r>
      <w:r>
        <w:rPr>
          <w:sz w:val="22"/>
          <w:vertAlign w:val="baseline"/>
        </w:rPr>
        <w:t>.</w:t>
      </w:r>
    </w:p>
    <w:p>
      <w:pPr>
        <w:spacing w:before="1"/>
        <w:ind w:left="116" w:right="0" w:firstLine="0"/>
        <w:jc w:val="left"/>
        <w:rPr>
          <w:sz w:val="20"/>
        </w:rPr>
      </w:pPr>
      <w:r>
        <w:rPr>
          <w:sz w:val="20"/>
          <w:vertAlign w:val="superscript"/>
        </w:rPr>
        <w:t>4</w:t>
      </w:r>
      <w:r>
        <w:rPr>
          <w:spacing w:val="-7"/>
          <w:sz w:val="20"/>
          <w:vertAlign w:val="baseline"/>
        </w:rPr>
        <w:t> </w:t>
      </w:r>
      <w:r>
        <w:rPr>
          <w:sz w:val="20"/>
          <w:vertAlign w:val="baseline"/>
        </w:rPr>
        <w:t>A</w:t>
      </w:r>
      <w:r>
        <w:rPr>
          <w:spacing w:val="-6"/>
          <w:sz w:val="20"/>
          <w:vertAlign w:val="baseline"/>
        </w:rPr>
        <w:t> </w:t>
      </w:r>
      <w:r>
        <w:rPr>
          <w:sz w:val="20"/>
          <w:vertAlign w:val="baseline"/>
        </w:rPr>
        <w:t>könyvben</w:t>
      </w:r>
      <w:r>
        <w:rPr>
          <w:spacing w:val="-6"/>
          <w:sz w:val="20"/>
          <w:vertAlign w:val="baseline"/>
        </w:rPr>
        <w:t> </w:t>
      </w:r>
      <w:r>
        <w:rPr>
          <w:sz w:val="20"/>
          <w:vertAlign w:val="baseline"/>
        </w:rPr>
        <w:t>eredetileg</w:t>
      </w:r>
      <w:r>
        <w:rPr>
          <w:spacing w:val="-7"/>
          <w:sz w:val="20"/>
          <w:vertAlign w:val="baseline"/>
        </w:rPr>
        <w:t> </w:t>
      </w:r>
      <w:r>
        <w:rPr>
          <w:sz w:val="20"/>
          <w:vertAlign w:val="baseline"/>
        </w:rPr>
        <w:t>a</w:t>
      </w:r>
      <w:r>
        <w:rPr>
          <w:spacing w:val="75"/>
          <w:sz w:val="20"/>
          <w:vertAlign w:val="baseline"/>
        </w:rPr>
        <w:t> </w:t>
      </w:r>
      <w:r>
        <w:rPr>
          <w:sz w:val="20"/>
          <w:vertAlign w:val="baseline"/>
        </w:rPr>
        <w:t>„principled</w:t>
      </w:r>
      <w:r>
        <w:rPr>
          <w:spacing w:val="-6"/>
          <w:sz w:val="20"/>
          <w:vertAlign w:val="baseline"/>
        </w:rPr>
        <w:t> </w:t>
      </w:r>
      <w:r>
        <w:rPr>
          <w:sz w:val="20"/>
          <w:vertAlign w:val="baseline"/>
        </w:rPr>
        <w:t>negotiation”</w:t>
      </w:r>
      <w:r>
        <w:rPr>
          <w:spacing w:val="-6"/>
          <w:sz w:val="20"/>
          <w:vertAlign w:val="baseline"/>
        </w:rPr>
        <w:t> </w:t>
      </w:r>
      <w:r>
        <w:rPr>
          <w:sz w:val="20"/>
          <w:vertAlign w:val="baseline"/>
        </w:rPr>
        <w:t>angol</w:t>
      </w:r>
      <w:r>
        <w:rPr>
          <w:spacing w:val="-5"/>
          <w:sz w:val="20"/>
          <w:vertAlign w:val="baseline"/>
        </w:rPr>
        <w:t> </w:t>
      </w:r>
      <w:r>
        <w:rPr>
          <w:sz w:val="20"/>
          <w:vertAlign w:val="baseline"/>
        </w:rPr>
        <w:t>kifejezés</w:t>
      </w:r>
      <w:r>
        <w:rPr>
          <w:spacing w:val="-8"/>
          <w:sz w:val="20"/>
          <w:vertAlign w:val="baseline"/>
        </w:rPr>
        <w:t> </w:t>
      </w:r>
      <w:r>
        <w:rPr>
          <w:sz w:val="20"/>
          <w:vertAlign w:val="baseline"/>
        </w:rPr>
        <w:t>szerepel,</w:t>
      </w:r>
      <w:r>
        <w:rPr>
          <w:spacing w:val="-5"/>
          <w:sz w:val="20"/>
          <w:vertAlign w:val="baseline"/>
        </w:rPr>
        <w:t> </w:t>
      </w:r>
      <w:r>
        <w:rPr>
          <w:sz w:val="20"/>
          <w:vertAlign w:val="baseline"/>
        </w:rPr>
        <w:t>ami</w:t>
      </w:r>
      <w:r>
        <w:rPr>
          <w:spacing w:val="-7"/>
          <w:sz w:val="20"/>
          <w:vertAlign w:val="baseline"/>
        </w:rPr>
        <w:t> </w:t>
      </w:r>
      <w:r>
        <w:rPr>
          <w:sz w:val="20"/>
          <w:vertAlign w:val="baseline"/>
        </w:rPr>
        <w:t>leginkább</w:t>
      </w:r>
      <w:r>
        <w:rPr>
          <w:spacing w:val="-5"/>
          <w:sz w:val="20"/>
          <w:vertAlign w:val="baseline"/>
        </w:rPr>
        <w:t> </w:t>
      </w:r>
      <w:r>
        <w:rPr>
          <w:spacing w:val="-2"/>
          <w:sz w:val="20"/>
          <w:vertAlign w:val="baseline"/>
        </w:rPr>
        <w:t>elvszerű</w:t>
      </w:r>
    </w:p>
    <w:p>
      <w:pPr>
        <w:spacing w:before="0"/>
        <w:ind w:left="116" w:right="247" w:firstLine="0"/>
        <w:jc w:val="left"/>
        <w:rPr>
          <w:sz w:val="20"/>
        </w:rPr>
      </w:pPr>
      <w:r>
        <w:rPr>
          <w:sz w:val="20"/>
        </w:rPr>
        <w:t>tárgyalásként fordítható. KAz integratív, kollaboratív/együttműködő, és érdekalapú tárgyalás is elterjedt a módszer megnevezéseként. A kollaboratív</w:t>
      </w:r>
      <w:r>
        <w:rPr>
          <w:spacing w:val="-2"/>
          <w:sz w:val="20"/>
        </w:rPr>
        <w:t> </w:t>
      </w:r>
      <w:r>
        <w:rPr>
          <w:sz w:val="20"/>
        </w:rPr>
        <w:t>kifejezés</w:t>
      </w:r>
      <w:r>
        <w:rPr>
          <w:spacing w:val="-2"/>
          <w:sz w:val="20"/>
        </w:rPr>
        <w:t> </w:t>
      </w:r>
      <w:r>
        <w:rPr>
          <w:sz w:val="20"/>
        </w:rPr>
        <w:t>helyett azért használom</w:t>
      </w:r>
      <w:r>
        <w:rPr>
          <w:spacing w:val="-1"/>
          <w:sz w:val="20"/>
        </w:rPr>
        <w:t> </w:t>
      </w:r>
      <w:r>
        <w:rPr>
          <w:sz w:val="20"/>
        </w:rPr>
        <w:t>a kooperatívat és</w:t>
      </w:r>
      <w:r>
        <w:rPr>
          <w:spacing w:val="-2"/>
          <w:sz w:val="20"/>
        </w:rPr>
        <w:t> </w:t>
      </w:r>
      <w:r>
        <w:rPr>
          <w:sz w:val="20"/>
        </w:rPr>
        <w:t>együttműködőt, mert</w:t>
      </w:r>
      <w:r>
        <w:rPr>
          <w:spacing w:val="-3"/>
          <w:sz w:val="20"/>
        </w:rPr>
        <w:t> </w:t>
      </w:r>
      <w:r>
        <w:rPr>
          <w:sz w:val="20"/>
        </w:rPr>
        <w:t>magyarul</w:t>
      </w:r>
      <w:r>
        <w:rPr>
          <w:spacing w:val="-4"/>
          <w:sz w:val="20"/>
        </w:rPr>
        <w:t> </w:t>
      </w:r>
      <w:r>
        <w:rPr>
          <w:sz w:val="20"/>
        </w:rPr>
        <w:t>ezek</w:t>
      </w:r>
      <w:r>
        <w:rPr>
          <w:spacing w:val="-3"/>
          <w:sz w:val="20"/>
        </w:rPr>
        <w:t> </w:t>
      </w:r>
      <w:r>
        <w:rPr>
          <w:sz w:val="20"/>
        </w:rPr>
        <w:t>állnak</w:t>
      </w:r>
      <w:r>
        <w:rPr>
          <w:spacing w:val="-3"/>
          <w:sz w:val="20"/>
        </w:rPr>
        <w:t> </w:t>
      </w:r>
      <w:r>
        <w:rPr>
          <w:sz w:val="20"/>
        </w:rPr>
        <w:t>legközelebb</w:t>
      </w:r>
      <w:r>
        <w:rPr>
          <w:spacing w:val="-3"/>
          <w:sz w:val="20"/>
        </w:rPr>
        <w:t> </w:t>
      </w:r>
      <w:r>
        <w:rPr>
          <w:sz w:val="20"/>
        </w:rPr>
        <w:t>az</w:t>
      </w:r>
      <w:r>
        <w:rPr>
          <w:spacing w:val="-3"/>
          <w:sz w:val="20"/>
        </w:rPr>
        <w:t> </w:t>
      </w:r>
      <w:r>
        <w:rPr>
          <w:sz w:val="20"/>
        </w:rPr>
        <w:t>eredeti</w:t>
      </w:r>
      <w:r>
        <w:rPr>
          <w:spacing w:val="-3"/>
          <w:sz w:val="20"/>
        </w:rPr>
        <w:t> </w:t>
      </w:r>
      <w:r>
        <w:rPr>
          <w:sz w:val="20"/>
        </w:rPr>
        <w:t>kifejezés</w:t>
      </w:r>
      <w:r>
        <w:rPr>
          <w:spacing w:val="-2"/>
          <w:sz w:val="20"/>
        </w:rPr>
        <w:t> </w:t>
      </w:r>
      <w:r>
        <w:rPr>
          <w:sz w:val="20"/>
        </w:rPr>
        <w:t>értelméhez és</w:t>
      </w:r>
      <w:r>
        <w:rPr>
          <w:spacing w:val="-2"/>
          <w:sz w:val="20"/>
        </w:rPr>
        <w:t> </w:t>
      </w:r>
      <w:r>
        <w:rPr>
          <w:sz w:val="20"/>
        </w:rPr>
        <w:t>semlegesebbek,</w:t>
      </w:r>
      <w:r>
        <w:rPr>
          <w:spacing w:val="-3"/>
          <w:sz w:val="20"/>
        </w:rPr>
        <w:t> </w:t>
      </w:r>
      <w:r>
        <w:rPr>
          <w:sz w:val="20"/>
        </w:rPr>
        <w:t>mint</w:t>
      </w:r>
      <w:r>
        <w:rPr>
          <w:spacing w:val="-3"/>
          <w:sz w:val="20"/>
        </w:rPr>
        <w:t> </w:t>
      </w:r>
      <w:r>
        <w:rPr>
          <w:sz w:val="20"/>
        </w:rPr>
        <w:t>a</w:t>
      </w:r>
      <w:r>
        <w:rPr>
          <w:spacing w:val="-3"/>
          <w:sz w:val="20"/>
        </w:rPr>
        <w:t> </w:t>
      </w:r>
      <w:r>
        <w:rPr>
          <w:sz w:val="20"/>
        </w:rPr>
        <w:t>a</w:t>
      </w:r>
      <w:r>
        <w:rPr>
          <w:spacing w:val="-3"/>
          <w:sz w:val="20"/>
        </w:rPr>
        <w:t> </w:t>
      </w:r>
      <w:r>
        <w:rPr>
          <w:sz w:val="20"/>
        </w:rPr>
        <w:t>kollaboratív </w:t>
      </w:r>
      <w:r>
        <w:rPr>
          <w:spacing w:val="-2"/>
          <w:sz w:val="20"/>
        </w:rPr>
        <w:t>kifejezés..</w:t>
      </w:r>
    </w:p>
    <w:p>
      <w:pPr>
        <w:spacing w:after="0"/>
        <w:jc w:val="left"/>
        <w:rPr>
          <w:sz w:val="20"/>
        </w:rPr>
        <w:sectPr>
          <w:pgSz w:w="11910" w:h="16840"/>
          <w:pgMar w:header="0" w:footer="1002" w:top="1360" w:bottom="1200" w:left="1300" w:right="1200"/>
        </w:sectPr>
      </w:pPr>
    </w:p>
    <w:p>
      <w:pPr>
        <w:pStyle w:val="BodyText"/>
        <w:spacing w:line="362" w:lineRule="auto" w:before="74"/>
        <w:ind w:left="116" w:right="215"/>
        <w:jc w:val="both"/>
      </w:pPr>
      <w:r>
        <w:rPr/>
        <w:t>egyeduralkodó</w:t>
      </w:r>
      <w:r>
        <w:rPr>
          <w:spacing w:val="-3"/>
        </w:rPr>
        <w:t> </w:t>
      </w:r>
      <w:r>
        <w:rPr/>
        <w:t>versengő</w:t>
      </w:r>
      <w:r>
        <w:rPr>
          <w:spacing w:val="-2"/>
        </w:rPr>
        <w:t> </w:t>
      </w:r>
      <w:r>
        <w:rPr/>
        <w:t>tárgyalási</w:t>
      </w:r>
      <w:r>
        <w:rPr>
          <w:spacing w:val="-3"/>
        </w:rPr>
        <w:t> </w:t>
      </w:r>
      <w:r>
        <w:rPr/>
        <w:t>megközelítésekhez</w:t>
      </w:r>
      <w:r>
        <w:rPr>
          <w:spacing w:val="-5"/>
        </w:rPr>
        <w:t> </w:t>
      </w:r>
      <w:r>
        <w:rPr/>
        <w:t>képest.</w:t>
      </w:r>
      <w:r>
        <w:rPr>
          <w:vertAlign w:val="superscript"/>
        </w:rPr>
        <w:t>5</w:t>
      </w:r>
      <w:r>
        <w:rPr>
          <w:spacing w:val="-3"/>
          <w:vertAlign w:val="baseline"/>
        </w:rPr>
        <w:t> </w:t>
      </w:r>
      <w:r>
        <w:rPr>
          <w:vertAlign w:val="baseline"/>
        </w:rPr>
        <w:t>Ezen</w:t>
      </w:r>
      <w:r>
        <w:rPr>
          <w:spacing w:val="-3"/>
          <w:vertAlign w:val="baseline"/>
        </w:rPr>
        <w:t> </w:t>
      </w:r>
      <w:r>
        <w:rPr>
          <w:vertAlign w:val="baseline"/>
        </w:rPr>
        <w:t>a</w:t>
      </w:r>
      <w:r>
        <w:rPr>
          <w:spacing w:val="-3"/>
          <w:vertAlign w:val="baseline"/>
        </w:rPr>
        <w:t> </w:t>
      </w:r>
      <w:r>
        <w:rPr>
          <w:vertAlign w:val="baseline"/>
        </w:rPr>
        <w:t>gondolati</w:t>
      </w:r>
      <w:r>
        <w:rPr>
          <w:spacing w:val="-3"/>
          <w:vertAlign w:val="baseline"/>
        </w:rPr>
        <w:t> </w:t>
      </w:r>
      <w:r>
        <w:rPr>
          <w:vertAlign w:val="baseline"/>
        </w:rPr>
        <w:t>alapon</w:t>
      </w:r>
      <w:r>
        <w:rPr>
          <w:spacing w:val="-3"/>
          <w:vertAlign w:val="baseline"/>
        </w:rPr>
        <w:t> </w:t>
      </w:r>
      <w:r>
        <w:rPr>
          <w:vertAlign w:val="baseline"/>
        </w:rPr>
        <w:t>született</w:t>
      </w:r>
      <w:r>
        <w:rPr>
          <w:spacing w:val="-3"/>
          <w:vertAlign w:val="baseline"/>
        </w:rPr>
        <w:t> </w:t>
      </w:r>
      <w:r>
        <w:rPr>
          <w:vertAlign w:val="baseline"/>
        </w:rPr>
        <w:t>meg a Harvard módszer.</w:t>
      </w:r>
      <w:r>
        <w:rPr>
          <w:vertAlign w:val="superscript"/>
        </w:rPr>
        <w:t>6</w:t>
      </w:r>
    </w:p>
    <w:p>
      <w:pPr>
        <w:pStyle w:val="BodyText"/>
        <w:spacing w:line="360" w:lineRule="auto" w:before="195"/>
        <w:ind w:left="116" w:right="211"/>
        <w:jc w:val="both"/>
      </w:pPr>
      <w:r>
        <w:rPr/>
        <w:t>1983-ban jött létre a Harvard Egyetemen alapított interdiszciplináris központ, a Project on Negotiation (PON), melynek alapítói arra szövetkeztek, hogy folytatva a Getting to Yes gondolatát részletesen kidolgozzák a békés és együttműködő tárgyalás, problémamegoldás és konfliktuskezelés módszereit és eszközeit. Az új projektben résztvevő szakértőket az a meggyőződés hajtotta, hogy a véleményeltérések kezelésére biztosan van jobb módszer, mint a versengés és a harc, vagy a taktikai küzdelem. Az aktuális gyakorlatban ugyanis a szakértők feladata az volt, hogy ügyfeleiknek olyan támogatást adjanak, amivel jobban tudják saját érdekeiket más érintettekkel szemben érvényesíteni. A korszakalkotó fordulat az volt, hogy a PON alapítói – továbbépítve a Getting to Yes gondolatmenetét - megváltoztatták az alapkérdést. Ők azt a kérdést tették fel, hogy milyen tanácsot lehet a feleknek közösen adni annak érdekében, hogy a legjobb megoldás szülessen. Itt a legjobb megoldást</w:t>
      </w:r>
      <w:r>
        <w:rPr>
          <w:spacing w:val="-4"/>
        </w:rPr>
        <w:t> </w:t>
      </w:r>
      <w:r>
        <w:rPr/>
        <w:t>már</w:t>
      </w:r>
      <w:r>
        <w:rPr>
          <w:spacing w:val="-2"/>
        </w:rPr>
        <w:t> </w:t>
      </w:r>
      <w:r>
        <w:rPr/>
        <w:t>nem</w:t>
      </w:r>
      <w:r>
        <w:rPr>
          <w:spacing w:val="-1"/>
        </w:rPr>
        <w:t> </w:t>
      </w:r>
      <w:r>
        <w:rPr/>
        <w:t>az</w:t>
      </w:r>
      <w:r>
        <w:rPr>
          <w:spacing w:val="-2"/>
        </w:rPr>
        <w:t> </w:t>
      </w:r>
      <w:r>
        <w:rPr/>
        <w:t>egyik</w:t>
      </w:r>
      <w:r>
        <w:rPr>
          <w:spacing w:val="-2"/>
        </w:rPr>
        <w:t> </w:t>
      </w:r>
      <w:r>
        <w:rPr/>
        <w:t>fél</w:t>
      </w:r>
      <w:r>
        <w:rPr>
          <w:spacing w:val="-2"/>
        </w:rPr>
        <w:t> </w:t>
      </w:r>
      <w:r>
        <w:rPr/>
        <w:t>szempontjából</w:t>
      </w:r>
      <w:r>
        <w:rPr>
          <w:spacing w:val="-4"/>
        </w:rPr>
        <w:t> </w:t>
      </w:r>
      <w:r>
        <w:rPr/>
        <w:t>értelmezték,</w:t>
      </w:r>
      <w:r>
        <w:rPr>
          <w:spacing w:val="-2"/>
        </w:rPr>
        <w:t> </w:t>
      </w:r>
      <w:r>
        <w:rPr/>
        <w:t>hanem a</w:t>
      </w:r>
      <w:r>
        <w:rPr>
          <w:spacing w:val="-2"/>
        </w:rPr>
        <w:t> </w:t>
      </w:r>
      <w:r>
        <w:rPr/>
        <w:t>folyamat</w:t>
      </w:r>
      <w:r>
        <w:rPr>
          <w:spacing w:val="-1"/>
        </w:rPr>
        <w:t> </w:t>
      </w:r>
      <w:r>
        <w:rPr/>
        <w:t>során</w:t>
      </w:r>
      <w:r>
        <w:rPr>
          <w:spacing w:val="-4"/>
        </w:rPr>
        <w:t> </w:t>
      </w:r>
      <w:r>
        <w:rPr/>
        <w:t>megteremthető előnyök maximumaként, vagyis a legjobb az összességében legjobb megoldást jelentette. Ez a fordulat indította el az immár évtizedes folyamatot, amelynek során az együttműködő, integratív tárgyalás technikáit a legkülönbözőbb tárgyalási helyzetekre részletesen kidolgozták. A fordulat lényege tehát az, hogy az egyik félre koncentráló taktikáról az előnyöket maximalizáló stratégiára került a hangsúly. A tárgyalási szakmában pedig – az ügyfél felé elkötelezett tanácsadók mellett – megjelent egy új szereplő: a felek tárgyalását segítő, pártatlan facilitátor. A facilitátor már nem az egyik vagy másik ügyfélhez kötődik, hanem az értékteremtés és a korrekt megoldások irányában elkötelezett. Így pártatlanul igyekszik segíteni a feleket, hogy a mindenki számára legjobb megoldást találják meg.</w:t>
      </w:r>
    </w:p>
    <w:p>
      <w:pPr>
        <w:pStyle w:val="BodyText"/>
        <w:spacing w:line="360" w:lineRule="auto" w:before="203"/>
        <w:ind w:left="116" w:right="211"/>
        <w:jc w:val="both"/>
      </w:pPr>
      <w:r>
        <w:rPr/>
        <w:t>Mivel ez a kurzus és a kurzushoz kapcsolódó háttéranyag vezetőknek szól, talán érdemes egy rövid kitérőt</w:t>
      </w:r>
      <w:r>
        <w:rPr>
          <w:spacing w:val="-2"/>
        </w:rPr>
        <w:t> </w:t>
      </w:r>
      <w:r>
        <w:rPr/>
        <w:t>tenni</w:t>
      </w:r>
      <w:r>
        <w:rPr>
          <w:spacing w:val="-2"/>
        </w:rPr>
        <w:t> </w:t>
      </w:r>
      <w:r>
        <w:rPr/>
        <w:t>a</w:t>
      </w:r>
      <w:r>
        <w:rPr>
          <w:spacing w:val="-2"/>
        </w:rPr>
        <w:t> </w:t>
      </w:r>
      <w:r>
        <w:rPr/>
        <w:t>PON</w:t>
      </w:r>
      <w:r>
        <w:rPr>
          <w:spacing w:val="-2"/>
        </w:rPr>
        <w:t> </w:t>
      </w:r>
      <w:r>
        <w:rPr/>
        <w:t>saját</w:t>
      </w:r>
      <w:r>
        <w:rPr>
          <w:spacing w:val="-2"/>
        </w:rPr>
        <w:t> </w:t>
      </w:r>
      <w:r>
        <w:rPr/>
        <w:t>munkamódszerére is,</w:t>
      </w:r>
      <w:r>
        <w:rPr>
          <w:spacing w:val="-2"/>
        </w:rPr>
        <w:t> </w:t>
      </w:r>
      <w:r>
        <w:rPr/>
        <w:t>ami</w:t>
      </w:r>
      <w:r>
        <w:rPr>
          <w:spacing w:val="-2"/>
        </w:rPr>
        <w:t> </w:t>
      </w:r>
      <w:r>
        <w:rPr/>
        <w:t>a projektben</w:t>
      </w:r>
      <w:r>
        <w:rPr>
          <w:spacing w:val="-2"/>
        </w:rPr>
        <w:t> </w:t>
      </w:r>
      <w:r>
        <w:rPr/>
        <w:t>résztvevők integritásáról</w:t>
      </w:r>
      <w:r>
        <w:rPr>
          <w:spacing w:val="-2"/>
        </w:rPr>
        <w:t> </w:t>
      </w:r>
      <w:r>
        <w:rPr/>
        <w:t>szól. A</w:t>
      </w:r>
      <w:r>
        <w:rPr>
          <w:spacing w:val="-3"/>
        </w:rPr>
        <w:t> </w:t>
      </w:r>
      <w:r>
        <w:rPr/>
        <w:t>PON keretében neves egyetemek vezető tudósai dolgoznak, akik folyamatos gyakorlati tevékenységet is végeznek. Elsődleges céljuk az volt, hogy olyan műhelyt hozzanak létre, ahol együtt gondolkodva és kísérletezve alkotnak új megközelítéseket, majd ezek következményeit saját területükre alkalmazva elemezzenek, és dolgozzanak ki módszereket és technikákat. A PON megbeszélései alatt a résztvevők pont</w:t>
      </w:r>
      <w:r>
        <w:rPr>
          <w:spacing w:val="54"/>
        </w:rPr>
        <w:t> </w:t>
      </w:r>
      <w:r>
        <w:rPr/>
        <w:t>olyan</w:t>
      </w:r>
      <w:r>
        <w:rPr>
          <w:spacing w:val="56"/>
        </w:rPr>
        <w:t> </w:t>
      </w:r>
      <w:r>
        <w:rPr/>
        <w:t>szabályokat</w:t>
      </w:r>
      <w:r>
        <w:rPr>
          <w:spacing w:val="57"/>
        </w:rPr>
        <w:t> </w:t>
      </w:r>
      <w:r>
        <w:rPr/>
        <w:t>alkalmaznak,</w:t>
      </w:r>
      <w:r>
        <w:rPr>
          <w:spacing w:val="57"/>
        </w:rPr>
        <w:t> </w:t>
      </w:r>
      <w:r>
        <w:rPr/>
        <w:t>amilyeneket</w:t>
      </w:r>
      <w:r>
        <w:rPr>
          <w:spacing w:val="58"/>
        </w:rPr>
        <w:t> </w:t>
      </w:r>
      <w:r>
        <w:rPr/>
        <w:t>tárgyalás</w:t>
      </w:r>
      <w:r>
        <w:rPr>
          <w:spacing w:val="57"/>
        </w:rPr>
        <w:t> </w:t>
      </w:r>
      <w:r>
        <w:rPr/>
        <w:t>vagy</w:t>
      </w:r>
      <w:r>
        <w:rPr>
          <w:spacing w:val="57"/>
        </w:rPr>
        <w:t> </w:t>
      </w:r>
      <w:r>
        <w:rPr/>
        <w:t>konfliktuskezelés</w:t>
      </w:r>
      <w:r>
        <w:rPr>
          <w:spacing w:val="57"/>
        </w:rPr>
        <w:t> </w:t>
      </w:r>
      <w:r>
        <w:rPr/>
        <w:t>közben,</w:t>
      </w:r>
      <w:r>
        <w:rPr>
          <w:spacing w:val="57"/>
        </w:rPr>
        <w:t> </w:t>
      </w:r>
      <w:r>
        <w:rPr>
          <w:spacing w:val="-4"/>
        </w:rPr>
        <w:t>vagy</w:t>
      </w:r>
    </w:p>
    <w:p>
      <w:pPr>
        <w:pStyle w:val="BodyText"/>
        <w:spacing w:before="74"/>
        <w:rPr>
          <w:sz w:val="20"/>
        </w:rPr>
      </w:pPr>
      <w:r>
        <w:rPr/>
        <mc:AlternateContent>
          <mc:Choice Requires="wps">
            <w:drawing>
              <wp:anchor distT="0" distB="0" distL="0" distR="0" allowOverlap="1" layoutInCell="1" locked="0" behindDoc="1" simplePos="0" relativeHeight="487588352">
                <wp:simplePos x="0" y="0"/>
                <wp:positionH relativeFrom="page">
                  <wp:posOffset>899464</wp:posOffset>
                </wp:positionH>
                <wp:positionV relativeFrom="paragraph">
                  <wp:posOffset>217487</wp:posOffset>
                </wp:positionV>
                <wp:extent cx="1829435" cy="9525"/>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1829435" cy="9525"/>
                        </a:xfrm>
                        <a:custGeom>
                          <a:avLst/>
                          <a:gdLst/>
                          <a:ahLst/>
                          <a:cxnLst/>
                          <a:rect l="l" t="t" r="r" b="b"/>
                          <a:pathLst>
                            <a:path w="1829435" h="9525">
                              <a:moveTo>
                                <a:pt x="1829053" y="0"/>
                              </a:moveTo>
                              <a:lnTo>
                                <a:pt x="0" y="0"/>
                              </a:lnTo>
                              <a:lnTo>
                                <a:pt x="0" y="9144"/>
                              </a:lnTo>
                              <a:lnTo>
                                <a:pt x="1829053" y="9144"/>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823997pt;margin-top:17.124969pt;width:144.020pt;height:.72003pt;mso-position-horizontal-relative:page;mso-position-vertical-relative:paragraph;z-index:-15728128;mso-wrap-distance-left:0;mso-wrap-distance-right:0" id="docshape3" filled="true" fillcolor="#000000" stroked="false">
                <v:fill type="solid"/>
                <w10:wrap type="topAndBottom"/>
              </v:rect>
            </w:pict>
          </mc:Fallback>
        </mc:AlternateContent>
      </w:r>
    </w:p>
    <w:p>
      <w:pPr>
        <w:spacing w:before="102"/>
        <w:ind w:left="116" w:right="0" w:firstLine="0"/>
        <w:jc w:val="left"/>
        <w:rPr>
          <w:sz w:val="20"/>
        </w:rPr>
      </w:pPr>
      <w:r>
        <w:rPr>
          <w:sz w:val="20"/>
          <w:vertAlign w:val="superscript"/>
        </w:rPr>
        <w:t>5</w:t>
      </w:r>
      <w:r>
        <w:rPr>
          <w:spacing w:val="-4"/>
          <w:sz w:val="20"/>
          <w:vertAlign w:val="baseline"/>
        </w:rPr>
        <w:t> </w:t>
      </w:r>
      <w:r>
        <w:rPr>
          <w:sz w:val="20"/>
          <w:vertAlign w:val="baseline"/>
        </w:rPr>
        <w:t>Itt</w:t>
      </w:r>
      <w:r>
        <w:rPr>
          <w:spacing w:val="-3"/>
          <w:sz w:val="20"/>
          <w:vertAlign w:val="baseline"/>
        </w:rPr>
        <w:t> </w:t>
      </w:r>
      <w:r>
        <w:rPr>
          <w:sz w:val="20"/>
          <w:vertAlign w:val="baseline"/>
        </w:rPr>
        <w:t>elégedjünk</w:t>
      </w:r>
      <w:r>
        <w:rPr>
          <w:spacing w:val="-3"/>
          <w:sz w:val="20"/>
          <w:vertAlign w:val="baseline"/>
        </w:rPr>
        <w:t> </w:t>
      </w:r>
      <w:r>
        <w:rPr>
          <w:sz w:val="20"/>
          <w:vertAlign w:val="baseline"/>
        </w:rPr>
        <w:t>meg</w:t>
      </w:r>
      <w:r>
        <w:rPr>
          <w:spacing w:val="-4"/>
          <w:sz w:val="20"/>
          <w:vertAlign w:val="baseline"/>
        </w:rPr>
        <w:t> </w:t>
      </w:r>
      <w:r>
        <w:rPr>
          <w:sz w:val="20"/>
          <w:vertAlign w:val="baseline"/>
        </w:rPr>
        <w:t>azzal,</w:t>
      </w:r>
      <w:r>
        <w:rPr>
          <w:spacing w:val="-3"/>
          <w:sz w:val="20"/>
          <w:vertAlign w:val="baseline"/>
        </w:rPr>
        <w:t> </w:t>
      </w:r>
      <w:r>
        <w:rPr>
          <w:sz w:val="20"/>
          <w:vertAlign w:val="baseline"/>
        </w:rPr>
        <w:t>amennyit</w:t>
      </w:r>
      <w:r>
        <w:rPr>
          <w:spacing w:val="-3"/>
          <w:sz w:val="20"/>
          <w:vertAlign w:val="baseline"/>
        </w:rPr>
        <w:t> </w:t>
      </w:r>
      <w:r>
        <w:rPr>
          <w:sz w:val="20"/>
          <w:vertAlign w:val="baseline"/>
        </w:rPr>
        <w:t>a</w:t>
      </w:r>
      <w:r>
        <w:rPr>
          <w:spacing w:val="-3"/>
          <w:sz w:val="20"/>
          <w:vertAlign w:val="baseline"/>
        </w:rPr>
        <w:t> </w:t>
      </w:r>
      <w:r>
        <w:rPr>
          <w:sz w:val="20"/>
          <w:vertAlign w:val="baseline"/>
        </w:rPr>
        <w:t>fogalmak</w:t>
      </w:r>
      <w:r>
        <w:rPr>
          <w:spacing w:val="-3"/>
          <w:sz w:val="20"/>
          <w:vertAlign w:val="baseline"/>
        </w:rPr>
        <w:t> </w:t>
      </w:r>
      <w:r>
        <w:rPr>
          <w:sz w:val="20"/>
          <w:vertAlign w:val="baseline"/>
        </w:rPr>
        <w:t>alapján</w:t>
      </w:r>
      <w:r>
        <w:rPr>
          <w:spacing w:val="-3"/>
          <w:sz w:val="20"/>
          <w:vertAlign w:val="baseline"/>
        </w:rPr>
        <w:t> </w:t>
      </w:r>
      <w:r>
        <w:rPr>
          <w:sz w:val="20"/>
          <w:vertAlign w:val="baseline"/>
        </w:rPr>
        <w:t>megértünk.</w:t>
      </w:r>
      <w:r>
        <w:rPr>
          <w:spacing w:val="-3"/>
          <w:sz w:val="20"/>
          <w:vertAlign w:val="baseline"/>
        </w:rPr>
        <w:t> </w:t>
      </w:r>
      <w:r>
        <w:rPr>
          <w:sz w:val="20"/>
          <w:vertAlign w:val="baseline"/>
        </w:rPr>
        <w:t>A</w:t>
      </w:r>
      <w:r>
        <w:rPr>
          <w:spacing w:val="-3"/>
          <w:sz w:val="20"/>
          <w:vertAlign w:val="baseline"/>
        </w:rPr>
        <w:t> </w:t>
      </w:r>
      <w:r>
        <w:rPr>
          <w:sz w:val="20"/>
          <w:vertAlign w:val="baseline"/>
        </w:rPr>
        <w:t>két</w:t>
      </w:r>
      <w:r>
        <w:rPr>
          <w:spacing w:val="-3"/>
          <w:sz w:val="20"/>
          <w:vertAlign w:val="baseline"/>
        </w:rPr>
        <w:t> </w:t>
      </w:r>
      <w:r>
        <w:rPr>
          <w:sz w:val="20"/>
          <w:vertAlign w:val="baseline"/>
        </w:rPr>
        <w:t>módszer</w:t>
      </w:r>
      <w:r>
        <w:rPr>
          <w:spacing w:val="-3"/>
          <w:sz w:val="20"/>
          <w:vertAlign w:val="baseline"/>
        </w:rPr>
        <w:t> </w:t>
      </w:r>
      <w:r>
        <w:rPr>
          <w:sz w:val="20"/>
          <w:vertAlign w:val="baseline"/>
        </w:rPr>
        <w:t>részletes</w:t>
      </w:r>
      <w:r>
        <w:rPr>
          <w:spacing w:val="-5"/>
          <w:sz w:val="20"/>
          <w:vertAlign w:val="baseline"/>
        </w:rPr>
        <w:t> </w:t>
      </w:r>
      <w:r>
        <w:rPr>
          <w:sz w:val="20"/>
          <w:vertAlign w:val="baseline"/>
        </w:rPr>
        <w:t>összehasonlítása</w:t>
      </w:r>
      <w:r>
        <w:rPr>
          <w:spacing w:val="-3"/>
          <w:sz w:val="20"/>
          <w:vertAlign w:val="baseline"/>
        </w:rPr>
        <w:t> </w:t>
      </w:r>
      <w:r>
        <w:rPr>
          <w:sz w:val="20"/>
          <w:vertAlign w:val="baseline"/>
        </w:rPr>
        <w:t>a következő modulban következik.</w:t>
      </w:r>
    </w:p>
    <w:p>
      <w:pPr>
        <w:spacing w:before="1"/>
        <w:ind w:left="116" w:right="392" w:firstLine="0"/>
        <w:jc w:val="left"/>
        <w:rPr>
          <w:sz w:val="20"/>
        </w:rPr>
      </w:pPr>
      <w:r>
        <w:rPr>
          <w:sz w:val="20"/>
          <w:vertAlign w:val="superscript"/>
        </w:rPr>
        <w:t>6</w:t>
      </w:r>
      <w:r>
        <w:rPr>
          <w:sz w:val="20"/>
          <w:vertAlign w:val="baseline"/>
        </w:rPr>
        <w:t> Különösen a német szakirodalomban hívják így a Getting to Yes német kiadása óta, aminek a címe Das Harvard-Konzept. (Roger Fisher, William Ury, Bruce Patton: </w:t>
      </w:r>
      <w:r>
        <w:rPr>
          <w:i/>
          <w:sz w:val="20"/>
          <w:vertAlign w:val="baseline"/>
        </w:rPr>
        <w:t>Das Harvard-Konzept. Der Klassiker der</w:t>
      </w:r>
      <w:r>
        <w:rPr>
          <w:i/>
          <w:sz w:val="20"/>
          <w:vertAlign w:val="baseline"/>
        </w:rPr>
        <w:t> Verhandlungstechnik</w:t>
      </w:r>
      <w:r>
        <w:rPr>
          <w:sz w:val="20"/>
          <w:vertAlign w:val="baseline"/>
        </w:rPr>
        <w:t>.</w:t>
      </w:r>
      <w:r>
        <w:rPr>
          <w:spacing w:val="-3"/>
          <w:sz w:val="20"/>
          <w:vertAlign w:val="baseline"/>
        </w:rPr>
        <w:t> </w:t>
      </w:r>
      <w:r>
        <w:rPr>
          <w:sz w:val="20"/>
          <w:vertAlign w:val="baseline"/>
        </w:rPr>
        <w:t>23.</w:t>
      </w:r>
      <w:r>
        <w:rPr>
          <w:spacing w:val="-4"/>
          <w:sz w:val="20"/>
          <w:vertAlign w:val="baseline"/>
        </w:rPr>
        <w:t> </w:t>
      </w:r>
      <w:r>
        <w:rPr>
          <w:sz w:val="20"/>
          <w:vertAlign w:val="baseline"/>
        </w:rPr>
        <w:t>Auflage.</w:t>
      </w:r>
      <w:r>
        <w:rPr>
          <w:spacing w:val="-3"/>
          <w:sz w:val="20"/>
          <w:vertAlign w:val="baseline"/>
        </w:rPr>
        <w:t> </w:t>
      </w:r>
      <w:r>
        <w:rPr>
          <w:sz w:val="20"/>
          <w:vertAlign w:val="baseline"/>
        </w:rPr>
        <w:t>Campus-Verlag,</w:t>
      </w:r>
      <w:r>
        <w:rPr>
          <w:spacing w:val="-3"/>
          <w:sz w:val="20"/>
          <w:vertAlign w:val="baseline"/>
        </w:rPr>
        <w:t> </w:t>
      </w:r>
      <w:r>
        <w:rPr>
          <w:sz w:val="20"/>
          <w:vertAlign w:val="baseline"/>
        </w:rPr>
        <w:t>Frankfurt</w:t>
      </w:r>
      <w:r>
        <w:rPr>
          <w:spacing w:val="-3"/>
          <w:sz w:val="20"/>
          <w:vertAlign w:val="baseline"/>
        </w:rPr>
        <w:t> </w:t>
      </w:r>
      <w:r>
        <w:rPr>
          <w:sz w:val="20"/>
          <w:vertAlign w:val="baseline"/>
        </w:rPr>
        <w:t>am</w:t>
      </w:r>
      <w:r>
        <w:rPr>
          <w:spacing w:val="-4"/>
          <w:sz w:val="20"/>
          <w:vertAlign w:val="baseline"/>
        </w:rPr>
        <w:t> </w:t>
      </w:r>
      <w:r>
        <w:rPr>
          <w:sz w:val="20"/>
          <w:vertAlign w:val="baseline"/>
        </w:rPr>
        <w:t>Main</w:t>
      </w:r>
      <w:r>
        <w:rPr>
          <w:spacing w:val="-3"/>
          <w:sz w:val="20"/>
          <w:vertAlign w:val="baseline"/>
        </w:rPr>
        <w:t> </w:t>
      </w:r>
      <w:r>
        <w:rPr>
          <w:sz w:val="20"/>
          <w:vertAlign w:val="baseline"/>
        </w:rPr>
        <w:t>u.</w:t>
      </w:r>
      <w:r>
        <w:rPr>
          <w:spacing w:val="-3"/>
          <w:sz w:val="20"/>
          <w:vertAlign w:val="baseline"/>
        </w:rPr>
        <w:t> </w:t>
      </w:r>
      <w:r>
        <w:rPr>
          <w:sz w:val="20"/>
          <w:vertAlign w:val="baseline"/>
        </w:rPr>
        <w:t>a.</w:t>
      </w:r>
      <w:r>
        <w:rPr>
          <w:spacing w:val="-3"/>
          <w:sz w:val="20"/>
          <w:vertAlign w:val="baseline"/>
        </w:rPr>
        <w:t> </w:t>
      </w:r>
      <w:r>
        <w:rPr>
          <w:sz w:val="20"/>
          <w:vertAlign w:val="baseline"/>
        </w:rPr>
        <w:t>2009, ISBN</w:t>
      </w:r>
      <w:r>
        <w:rPr>
          <w:spacing w:val="-3"/>
          <w:sz w:val="20"/>
          <w:vertAlign w:val="baseline"/>
        </w:rPr>
        <w:t> </w:t>
      </w:r>
      <w:r>
        <w:rPr>
          <w:sz w:val="20"/>
          <w:vertAlign w:val="baseline"/>
        </w:rPr>
        <w:t>978-3-593-38982-0,</w:t>
      </w:r>
      <w:r>
        <w:rPr>
          <w:spacing w:val="-3"/>
          <w:sz w:val="20"/>
          <w:vertAlign w:val="baseline"/>
        </w:rPr>
        <w:t> </w:t>
      </w:r>
      <w:r>
        <w:rPr>
          <w:sz w:val="20"/>
          <w:vertAlign w:val="baseline"/>
        </w:rPr>
        <w:t>(1. Auflage 1984). A Harvard módszer kifejezés, azonban egyre inkább más nyelveken is megjelenik.</w:t>
      </w:r>
    </w:p>
    <w:p>
      <w:pPr>
        <w:spacing w:after="0"/>
        <w:jc w:val="left"/>
        <w:rPr>
          <w:sz w:val="20"/>
        </w:rPr>
        <w:sectPr>
          <w:pgSz w:w="11910" w:h="16840"/>
          <w:pgMar w:header="0" w:footer="1002" w:top="1320" w:bottom="1200" w:left="1300" w:right="1200"/>
        </w:sectPr>
      </w:pPr>
    </w:p>
    <w:p>
      <w:pPr>
        <w:pStyle w:val="BodyText"/>
        <w:spacing w:line="360" w:lineRule="auto" w:before="74"/>
        <w:ind w:left="116" w:right="214"/>
        <w:jc w:val="both"/>
      </w:pPr>
      <w:r>
        <w:rPr/>
        <w:t>részvételi fórumokon. Az interakciót és a különböző nézőpontok artikulálódását tűzik célul.</w:t>
      </w:r>
      <w:r>
        <w:rPr>
          <w:vertAlign w:val="superscript"/>
        </w:rPr>
        <w:t>7</w:t>
      </w:r>
      <w:r>
        <w:rPr>
          <w:spacing w:val="-2"/>
          <w:vertAlign w:val="baseline"/>
        </w:rPr>
        <w:t> </w:t>
      </w:r>
      <w:r>
        <w:rPr>
          <w:vertAlign w:val="baseline"/>
        </w:rPr>
        <w:t>Miért fontos ez? Mert azt mutatja, hogy magukra is azt alkalmazzák, amit módszerként ajánlanak. Kilépnek a versengő vita nyugati kultúrájából és közösen dolgoznak azon, hogy alkotó folyamatban találjanak</w:t>
      </w:r>
      <w:r>
        <w:rPr>
          <w:spacing w:val="40"/>
          <w:vertAlign w:val="baseline"/>
        </w:rPr>
        <w:t> </w:t>
      </w:r>
      <w:r>
        <w:rPr>
          <w:vertAlign w:val="baseline"/>
        </w:rPr>
        <w:t>új megoldásokat, amelyekben egyesülhetnek a különböző szereplők eltérő perspektívái.</w:t>
      </w:r>
    </w:p>
    <w:p>
      <w:pPr>
        <w:pStyle w:val="BodyText"/>
        <w:spacing w:line="360" w:lineRule="auto" w:before="201"/>
        <w:ind w:left="116" w:right="211"/>
        <w:jc w:val="both"/>
      </w:pPr>
      <w:r>
        <w:rPr/>
        <w:t>Azért említettem meg a PON munkamódszerét, mert még mielőtt a részletekre térek, fontos megérteni, hogy az együttműködő folyamat nem egyszerűen csak egy módszertani elem a szakértő repertoárjából.</w:t>
      </w:r>
      <w:r>
        <w:rPr>
          <w:spacing w:val="40"/>
        </w:rPr>
        <w:t> </w:t>
      </w:r>
      <w:r>
        <w:rPr/>
        <w:t>Az együttműködő folyamat nem értéksemleges, hanem nagyon határozott értékválasztáson alapul: a szereplők méltóságába és képességeibe vetett hiten, és azon a meggyőződésen, hogy mindenki véleményt formálhat, és mindenkinek joga van az őt érintő döntésekben részt venni.</w:t>
      </w:r>
      <w:r>
        <w:rPr>
          <w:spacing w:val="40"/>
        </w:rPr>
        <w:t> </w:t>
      </w:r>
      <w:r>
        <w:rPr/>
        <w:t>Ha ebben nem hiszünk, a módszer csak üres, átlátható technika marad. Mindaddig, amíg az ember nem hisz abban, hogy az érintetteknek alapvető joga a részvétel az őket érintő kérdések megtárgyalásában, és megfelelően vezetett folyamatban hozzá tudnak járulni a problémamegoldáshoz, addig nem képes figyelemmel fordulni tárgyalópartnere felé. Hiányozni fog belőle az a kíváncsiság, ami a módszerhez elengedhetetlen feltáró beszélgetéshez kell. Ha pedig kimarad a feltáró rész, nagy a kockázata annak, hogy kimarad az értékteremtés is.</w:t>
      </w:r>
    </w:p>
    <w:p>
      <w:pPr>
        <w:pStyle w:val="BodyText"/>
        <w:spacing w:line="360" w:lineRule="auto" w:before="202"/>
        <w:ind w:left="116" w:right="212"/>
        <w:jc w:val="both"/>
      </w:pPr>
      <w:r>
        <w:rPr/>
        <w:t>Alázat</w:t>
      </w:r>
      <w:r>
        <w:rPr>
          <w:spacing w:val="-2"/>
        </w:rPr>
        <w:t> </w:t>
      </w:r>
      <w:r>
        <w:rPr/>
        <w:t>és</w:t>
      </w:r>
      <w:r>
        <w:rPr>
          <w:spacing w:val="-1"/>
        </w:rPr>
        <w:t> </w:t>
      </w:r>
      <w:r>
        <w:rPr/>
        <w:t>méltóság,</w:t>
      </w:r>
      <w:r>
        <w:rPr>
          <w:spacing w:val="-2"/>
        </w:rPr>
        <w:t> </w:t>
      </w:r>
      <w:r>
        <w:rPr/>
        <w:t>szabadság</w:t>
      </w:r>
      <w:r>
        <w:rPr>
          <w:spacing w:val="-3"/>
        </w:rPr>
        <w:t> </w:t>
      </w:r>
      <w:r>
        <w:rPr/>
        <w:t>és</w:t>
      </w:r>
      <w:r>
        <w:rPr>
          <w:spacing w:val="-2"/>
        </w:rPr>
        <w:t> </w:t>
      </w:r>
      <w:r>
        <w:rPr/>
        <w:t>felelősség,</w:t>
      </w:r>
      <w:r>
        <w:rPr>
          <w:spacing w:val="-2"/>
        </w:rPr>
        <w:t> </w:t>
      </w:r>
      <w:r>
        <w:rPr/>
        <w:t>értékteremtés</w:t>
      </w:r>
      <w:r>
        <w:rPr>
          <w:spacing w:val="-2"/>
        </w:rPr>
        <w:t> </w:t>
      </w:r>
      <w:r>
        <w:rPr/>
        <w:t>és</w:t>
      </w:r>
      <w:r>
        <w:rPr>
          <w:spacing w:val="-4"/>
        </w:rPr>
        <w:t> </w:t>
      </w:r>
      <w:r>
        <w:rPr/>
        <w:t>együttműködés</w:t>
      </w:r>
      <w:r>
        <w:rPr>
          <w:spacing w:val="-4"/>
        </w:rPr>
        <w:t> </w:t>
      </w:r>
      <w:r>
        <w:rPr/>
        <w:t>összetartozik.</w:t>
      </w:r>
      <w:r>
        <w:rPr>
          <w:spacing w:val="-2"/>
        </w:rPr>
        <w:t> </w:t>
      </w:r>
      <w:r>
        <w:rPr/>
        <w:t>Ha</w:t>
      </w:r>
      <w:r>
        <w:rPr>
          <w:spacing w:val="-2"/>
        </w:rPr>
        <w:t> </w:t>
      </w:r>
      <w:r>
        <w:rPr/>
        <w:t>valaki nem tud nyitottsággal és alázattal figyelni az álláspontokra és feltérképezni a lehetőségeket, és nem mély meggyőződése, hogy az érintettek fontos tudások, felkészültségek birtokosai, amelyek alapján képesek a számukra legjobb megoldás megtalálásban, akkor nem együttműködően fog tárgyalni. Amikor a tárgyalópartnerek, vagy érintettek bevonása csak taktikai vagy politikai álarc, a résztvevők előbb utóbb ezt érzékelik és a kezdeményezés többet árt a kezdeményezőkbe vetett bizalomnak, mint, amennyit javít a folyamaton.</w:t>
      </w:r>
    </w:p>
    <w:p>
      <w:pPr>
        <w:pStyle w:val="BodyText"/>
        <w:spacing w:line="360" w:lineRule="auto" w:before="200"/>
        <w:ind w:left="116" w:right="213"/>
        <w:jc w:val="both"/>
      </w:pPr>
      <w:r>
        <w:rPr/>
        <w:t>Végül még egy fontos gondolat: nehéz, komplex tárgyalási helyzetekben, vagy kiéleződött konfliktusok során, a jó folyamathoz sajnos még az értékrend, alázat és integritás is kevés. Megfelelő szakértelem is kell. Ahhoz, hogy egy alapvetően nyugalmas, kiegyensúlyozott helyzetben egy partnerrel, vagy egy kisebb csoport egymásban bízó emberrel jól együtt tudjunk működni általában van gyakorlatunk és eszközrendszerünk. Nehéz helyzetekben azonban fontos a speciális szakértelem. Ezért – bár ez a könyv alapvetően a közigazgatási vezető tárgyalási és konfliktusokat kezelő kompetenciáját hivatott fejleszteni - az</w:t>
      </w:r>
      <w:r>
        <w:rPr>
          <w:spacing w:val="40"/>
        </w:rPr>
        <w:t> </w:t>
      </w:r>
      <w:r>
        <w:rPr/>
        <w:t>ötödik fejezetben azokról a konfliktuskezelő folyamatokról is szó lesz, amelyekben érdemes pártatlan szakember segítségét megfontolni.</w:t>
      </w:r>
    </w:p>
    <w:p>
      <w:pPr>
        <w:pStyle w:val="BodyText"/>
        <w:rPr>
          <w:sz w:val="20"/>
        </w:rPr>
      </w:pPr>
    </w:p>
    <w:p>
      <w:pPr>
        <w:pStyle w:val="BodyText"/>
        <w:spacing w:before="204"/>
        <w:rPr>
          <w:sz w:val="20"/>
        </w:rPr>
      </w:pPr>
      <w:r>
        <w:rPr/>
        <mc:AlternateContent>
          <mc:Choice Requires="wps">
            <w:drawing>
              <wp:anchor distT="0" distB="0" distL="0" distR="0" allowOverlap="1" layoutInCell="1" locked="0" behindDoc="1" simplePos="0" relativeHeight="487588864">
                <wp:simplePos x="0" y="0"/>
                <wp:positionH relativeFrom="page">
                  <wp:posOffset>899464</wp:posOffset>
                </wp:positionH>
                <wp:positionV relativeFrom="paragraph">
                  <wp:posOffset>300417</wp:posOffset>
                </wp:positionV>
                <wp:extent cx="1829435" cy="9525"/>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1829435" cy="9525"/>
                        </a:xfrm>
                        <a:custGeom>
                          <a:avLst/>
                          <a:gdLst/>
                          <a:ahLst/>
                          <a:cxnLst/>
                          <a:rect l="l" t="t" r="r" b="b"/>
                          <a:pathLst>
                            <a:path w="1829435" h="9525">
                              <a:moveTo>
                                <a:pt x="1829053" y="0"/>
                              </a:moveTo>
                              <a:lnTo>
                                <a:pt x="0" y="0"/>
                              </a:lnTo>
                              <a:lnTo>
                                <a:pt x="0" y="9144"/>
                              </a:lnTo>
                              <a:lnTo>
                                <a:pt x="1829053" y="9144"/>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823997pt;margin-top:23.654892pt;width:144.020pt;height:.72003pt;mso-position-horizontal-relative:page;mso-position-vertical-relative:paragraph;z-index:-15727616;mso-wrap-distance-left:0;mso-wrap-distance-right:0" id="docshape4" filled="true" fillcolor="#000000" stroked="false">
                <v:fill type="solid"/>
                <w10:wrap type="topAndBottom"/>
              </v:rect>
            </w:pict>
          </mc:Fallback>
        </mc:AlternateContent>
      </w:r>
    </w:p>
    <w:p>
      <w:pPr>
        <w:spacing w:before="102"/>
        <w:ind w:left="116" w:right="247" w:firstLine="0"/>
        <w:jc w:val="left"/>
        <w:rPr>
          <w:sz w:val="20"/>
        </w:rPr>
      </w:pPr>
      <w:r>
        <w:rPr>
          <w:sz w:val="20"/>
          <w:vertAlign w:val="superscript"/>
        </w:rPr>
        <w:t>7</w:t>
      </w:r>
      <w:r>
        <w:rPr>
          <w:spacing w:val="-4"/>
          <w:sz w:val="20"/>
          <w:vertAlign w:val="baseline"/>
        </w:rPr>
        <w:t> </w:t>
      </w:r>
      <w:r>
        <w:rPr>
          <w:sz w:val="20"/>
          <w:vertAlign w:val="baseline"/>
        </w:rPr>
        <w:t>Ilyen</w:t>
      </w:r>
      <w:r>
        <w:rPr>
          <w:spacing w:val="-3"/>
          <w:sz w:val="20"/>
          <w:vertAlign w:val="baseline"/>
        </w:rPr>
        <w:t> </w:t>
      </w:r>
      <w:r>
        <w:rPr>
          <w:sz w:val="20"/>
          <w:vertAlign w:val="baseline"/>
        </w:rPr>
        <w:t>szabályok</w:t>
      </w:r>
      <w:r>
        <w:rPr>
          <w:spacing w:val="-3"/>
          <w:sz w:val="20"/>
          <w:vertAlign w:val="baseline"/>
        </w:rPr>
        <w:t> </w:t>
      </w:r>
      <w:r>
        <w:rPr>
          <w:sz w:val="20"/>
          <w:vertAlign w:val="baseline"/>
        </w:rPr>
        <w:t>például:</w:t>
      </w:r>
      <w:r>
        <w:rPr>
          <w:spacing w:val="-4"/>
          <w:sz w:val="20"/>
          <w:vertAlign w:val="baseline"/>
        </w:rPr>
        <w:t> </w:t>
      </w:r>
      <w:r>
        <w:rPr>
          <w:sz w:val="20"/>
          <w:vertAlign w:val="baseline"/>
        </w:rPr>
        <w:t>Nem</w:t>
      </w:r>
      <w:r>
        <w:rPr>
          <w:spacing w:val="-4"/>
          <w:sz w:val="20"/>
          <w:vertAlign w:val="baseline"/>
        </w:rPr>
        <w:t> </w:t>
      </w:r>
      <w:r>
        <w:rPr>
          <w:sz w:val="20"/>
          <w:vertAlign w:val="baseline"/>
        </w:rPr>
        <w:t>kritizálhatjuk</w:t>
      </w:r>
      <w:r>
        <w:rPr>
          <w:spacing w:val="-3"/>
          <w:sz w:val="20"/>
          <w:vertAlign w:val="baseline"/>
        </w:rPr>
        <w:t> </w:t>
      </w:r>
      <w:r>
        <w:rPr>
          <w:sz w:val="20"/>
          <w:vertAlign w:val="baseline"/>
        </w:rPr>
        <w:t>a</w:t>
      </w:r>
      <w:r>
        <w:rPr>
          <w:spacing w:val="-3"/>
          <w:sz w:val="20"/>
          <w:vertAlign w:val="baseline"/>
        </w:rPr>
        <w:t> </w:t>
      </w:r>
      <w:r>
        <w:rPr>
          <w:sz w:val="20"/>
          <w:vertAlign w:val="baseline"/>
        </w:rPr>
        <w:t>másik</w:t>
      </w:r>
      <w:r>
        <w:rPr>
          <w:spacing w:val="-3"/>
          <w:sz w:val="20"/>
          <w:vertAlign w:val="baseline"/>
        </w:rPr>
        <w:t> </w:t>
      </w:r>
      <w:r>
        <w:rPr>
          <w:sz w:val="20"/>
          <w:vertAlign w:val="baseline"/>
        </w:rPr>
        <w:t>gondolatát,</w:t>
      </w:r>
      <w:r>
        <w:rPr>
          <w:spacing w:val="-3"/>
          <w:sz w:val="20"/>
          <w:vertAlign w:val="baseline"/>
        </w:rPr>
        <w:t> </w:t>
      </w:r>
      <w:r>
        <w:rPr>
          <w:sz w:val="20"/>
          <w:vertAlign w:val="baseline"/>
        </w:rPr>
        <w:t>de</w:t>
      </w:r>
      <w:r>
        <w:rPr>
          <w:spacing w:val="-4"/>
          <w:sz w:val="20"/>
          <w:vertAlign w:val="baseline"/>
        </w:rPr>
        <w:t> </w:t>
      </w:r>
      <w:r>
        <w:rPr>
          <w:sz w:val="20"/>
          <w:vertAlign w:val="baseline"/>
        </w:rPr>
        <w:t>építhetünk</w:t>
      </w:r>
      <w:r>
        <w:rPr>
          <w:spacing w:val="-3"/>
          <w:sz w:val="20"/>
          <w:vertAlign w:val="baseline"/>
        </w:rPr>
        <w:t> </w:t>
      </w:r>
      <w:r>
        <w:rPr>
          <w:sz w:val="20"/>
          <w:vertAlign w:val="baseline"/>
        </w:rPr>
        <w:t>rá;</w:t>
      </w:r>
      <w:r>
        <w:rPr>
          <w:spacing w:val="-4"/>
          <w:sz w:val="20"/>
          <w:vertAlign w:val="baseline"/>
        </w:rPr>
        <w:t> </w:t>
      </w:r>
      <w:r>
        <w:rPr>
          <w:sz w:val="20"/>
          <w:vertAlign w:val="baseline"/>
        </w:rPr>
        <w:t>Nem lehet</w:t>
      </w:r>
      <w:r>
        <w:rPr>
          <w:spacing w:val="-3"/>
          <w:sz w:val="20"/>
          <w:vertAlign w:val="baseline"/>
        </w:rPr>
        <w:t> </w:t>
      </w:r>
      <w:r>
        <w:rPr>
          <w:sz w:val="20"/>
          <w:vertAlign w:val="baseline"/>
        </w:rPr>
        <w:t>témát</w:t>
      </w:r>
      <w:r>
        <w:rPr>
          <w:spacing w:val="-3"/>
          <w:sz w:val="20"/>
          <w:vertAlign w:val="baseline"/>
        </w:rPr>
        <w:t> </w:t>
      </w:r>
      <w:r>
        <w:rPr>
          <w:sz w:val="20"/>
          <w:vertAlign w:val="baseline"/>
        </w:rPr>
        <w:t>váltani lezárás előtt, és pontosan, gyakran vizuálisan is rögzítjük a gondolatokat és tanulságokat.</w:t>
      </w:r>
    </w:p>
    <w:p>
      <w:pPr>
        <w:spacing w:after="0"/>
        <w:jc w:val="left"/>
        <w:rPr>
          <w:sz w:val="20"/>
        </w:rPr>
        <w:sectPr>
          <w:pgSz w:w="11910" w:h="16840"/>
          <w:pgMar w:header="0" w:footer="1002" w:top="1320" w:bottom="1200" w:left="1300" w:right="1200"/>
        </w:sectPr>
      </w:pPr>
    </w:p>
    <w:p>
      <w:pPr>
        <w:pStyle w:val="BodyText"/>
        <w:spacing w:before="19"/>
        <w:rPr>
          <w:sz w:val="28"/>
        </w:rPr>
      </w:pPr>
    </w:p>
    <w:p>
      <w:pPr>
        <w:pStyle w:val="Heading1"/>
        <w:numPr>
          <w:ilvl w:val="0"/>
          <w:numId w:val="1"/>
        </w:numPr>
        <w:tabs>
          <w:tab w:pos="834" w:val="left" w:leader="none"/>
        </w:tabs>
        <w:spacing w:line="240" w:lineRule="auto" w:before="0" w:after="0"/>
        <w:ind w:left="834" w:right="0" w:hanging="358"/>
        <w:jc w:val="left"/>
        <w:rPr>
          <w:color w:val="365F91"/>
        </w:rPr>
      </w:pPr>
      <w:r>
        <w:rPr>
          <w:color w:val="365F91"/>
        </w:rPr>
        <w:t>Az</w:t>
      </w:r>
      <w:r>
        <w:rPr>
          <w:color w:val="365F91"/>
          <w:spacing w:val="-7"/>
        </w:rPr>
        <w:t> </w:t>
      </w:r>
      <w:r>
        <w:rPr>
          <w:color w:val="365F91"/>
        </w:rPr>
        <w:t>együttműködő</w:t>
      </w:r>
      <w:r>
        <w:rPr>
          <w:color w:val="365F91"/>
          <w:spacing w:val="-6"/>
        </w:rPr>
        <w:t> </w:t>
      </w:r>
      <w:r>
        <w:rPr>
          <w:color w:val="365F91"/>
        </w:rPr>
        <w:t>tárgyalás</w:t>
      </w:r>
      <w:r>
        <w:rPr>
          <w:color w:val="365F91"/>
          <w:spacing w:val="-2"/>
        </w:rPr>
        <w:t> </w:t>
      </w:r>
      <w:r>
        <w:rPr>
          <w:color w:val="365F91"/>
        </w:rPr>
        <w:t>-</w:t>
      </w:r>
      <w:r>
        <w:rPr>
          <w:color w:val="365F91"/>
          <w:spacing w:val="-8"/>
        </w:rPr>
        <w:t> </w:t>
      </w:r>
      <w:r>
        <w:rPr>
          <w:color w:val="365F91"/>
        </w:rPr>
        <w:t>a</w:t>
      </w:r>
      <w:r>
        <w:rPr>
          <w:color w:val="365F91"/>
          <w:spacing w:val="-4"/>
        </w:rPr>
        <w:t> </w:t>
      </w:r>
      <w:r>
        <w:rPr>
          <w:color w:val="365F91"/>
        </w:rPr>
        <w:t>racionális</w:t>
      </w:r>
      <w:r>
        <w:rPr>
          <w:color w:val="365F91"/>
          <w:spacing w:val="-5"/>
        </w:rPr>
        <w:t> </w:t>
      </w:r>
      <w:r>
        <w:rPr>
          <w:color w:val="365F91"/>
          <w:spacing w:val="-2"/>
        </w:rPr>
        <w:t>tárgyalás</w:t>
      </w:r>
    </w:p>
    <w:p>
      <w:pPr>
        <w:pStyle w:val="BodyText"/>
        <w:rPr>
          <w:rFonts w:ascii="Cambria"/>
          <w:b/>
          <w:sz w:val="28"/>
        </w:rPr>
      </w:pPr>
    </w:p>
    <w:p>
      <w:pPr>
        <w:pStyle w:val="BodyText"/>
        <w:spacing w:before="109"/>
        <w:rPr>
          <w:rFonts w:ascii="Cambria"/>
          <w:b/>
          <w:sz w:val="28"/>
        </w:rPr>
      </w:pPr>
    </w:p>
    <w:p>
      <w:pPr>
        <w:pStyle w:val="BodyText"/>
        <w:spacing w:line="360" w:lineRule="auto"/>
        <w:ind w:left="116" w:right="212"/>
        <w:jc w:val="both"/>
      </w:pPr>
      <w:r>
        <w:rPr/>
        <w:t>Ebben a részben a tárgyaláshoz kapcsolódó legfontosabb gondolatokat foglalom össze, alapvetően a kooperatív tárgyalás első nagy „bibliája” Roger Fischer és William Ury: Getting to Yes</w:t>
      </w:r>
      <w:r>
        <w:rPr>
          <w:vertAlign w:val="superscript"/>
        </w:rPr>
        <w:t>8</w:t>
      </w:r>
      <w:r>
        <w:rPr>
          <w:spacing w:val="-3"/>
          <w:vertAlign w:val="baseline"/>
        </w:rPr>
        <w:t> </w:t>
      </w:r>
      <w:r>
        <w:rPr>
          <w:vertAlign w:val="baseline"/>
        </w:rPr>
        <w:t>című könyve alapján.</w:t>
      </w:r>
      <w:r>
        <w:rPr>
          <w:spacing w:val="40"/>
          <w:vertAlign w:val="baseline"/>
        </w:rPr>
        <w:t> </w:t>
      </w:r>
      <w:r>
        <w:rPr>
          <w:vertAlign w:val="baseline"/>
        </w:rPr>
        <w:t>Azért választottam ezt a forrást, mert magyarul is hozzáférhető háttérolvasmány, és hihetetlen tisztán, érthetően, ugyanakkor nagyon egyszerűen foglalja össze az alapokat. Első megjelenése óta több millió példányban nyomtatták ki és több, mint harminc nyelvre lefordították.</w:t>
      </w:r>
      <w:r>
        <w:rPr>
          <w:spacing w:val="40"/>
          <w:vertAlign w:val="baseline"/>
        </w:rPr>
        <w:t> </w:t>
      </w:r>
      <w:r>
        <w:rPr>
          <w:vertAlign w:val="baseline"/>
        </w:rPr>
        <w:t>És miközben ma is kötelező irodalomként írják elő tárgyalási és konfliktuskezelő kurzusokhoz vezető egyetemeken,</w:t>
      </w:r>
      <w:r>
        <w:rPr>
          <w:spacing w:val="40"/>
          <w:vertAlign w:val="baseline"/>
        </w:rPr>
        <w:t> </w:t>
      </w:r>
      <w:r>
        <w:rPr>
          <w:vertAlign w:val="baseline"/>
        </w:rPr>
        <w:t>bátran ajánlható nehéz szövegekhez nem szokott munkatársaknak vagy akár háziasszonyoknak is.</w:t>
      </w:r>
    </w:p>
    <w:p>
      <w:pPr>
        <w:pStyle w:val="BodyText"/>
        <w:spacing w:line="360" w:lineRule="auto" w:before="200"/>
        <w:ind w:left="116" w:right="211"/>
        <w:jc w:val="both"/>
      </w:pPr>
      <w:r>
        <w:rPr/>
        <w:t>További érv emellett a forrás mellett, hogy a lényegre koncentrál, ami a vezető szempontjából is a legfontosabb.</w:t>
      </w:r>
      <w:r>
        <w:rPr>
          <w:spacing w:val="40"/>
        </w:rPr>
        <w:t> </w:t>
      </w:r>
      <w:r>
        <w:rPr/>
        <w:t>A könyvesboltok polcai tele vannak tárgyalástechnikai könyvekkel, amelyek mind nagyszerű saját módszert ajánlanak. Azonban ha az elmúlt tíz év termését megvizsgáljuk, azt látjuk, hogy a sokféle</w:t>
      </w:r>
      <w:r>
        <w:rPr>
          <w:spacing w:val="-1"/>
        </w:rPr>
        <w:t> </w:t>
      </w:r>
      <w:r>
        <w:rPr/>
        <w:t>könyvben szereplő közös pont az, ami – 1981-ban a Getting to Yes megjelenésekor – a könyv korszakalkotó elemét jelentette: a kooperatív, más néven együttműködő, vagy integratív, értékteremtő tárgyalás módszere. (Angolul a</w:t>
      </w:r>
      <w:r>
        <w:rPr>
          <w:spacing w:val="40"/>
        </w:rPr>
        <w:t> </w:t>
      </w:r>
      <w:r>
        <w:rPr/>
        <w:t>a „principled negotiation” a legelterjedtebb kifejezés, amit elvszerű tárgyalásként lehetne fordítani, azonban érdekes módon ez a kifejezés magyarul nem terjedt el)</w:t>
      </w:r>
    </w:p>
    <w:p>
      <w:pPr>
        <w:pStyle w:val="BodyText"/>
        <w:spacing w:line="360" w:lineRule="auto" w:before="201"/>
        <w:ind w:left="116" w:right="211"/>
        <w:jc w:val="both"/>
      </w:pPr>
      <w:r>
        <w:rPr/>
        <mc:AlternateContent>
          <mc:Choice Requires="wps">
            <w:drawing>
              <wp:anchor distT="0" distB="0" distL="0" distR="0" allowOverlap="1" layoutInCell="1" locked="0" behindDoc="1" simplePos="0" relativeHeight="487589376">
                <wp:simplePos x="0" y="0"/>
                <wp:positionH relativeFrom="page">
                  <wp:posOffset>899464</wp:posOffset>
                </wp:positionH>
                <wp:positionV relativeFrom="paragraph">
                  <wp:posOffset>2725233</wp:posOffset>
                </wp:positionV>
                <wp:extent cx="1829435" cy="9525"/>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1829435" cy="9525"/>
                        </a:xfrm>
                        <a:custGeom>
                          <a:avLst/>
                          <a:gdLst/>
                          <a:ahLst/>
                          <a:cxnLst/>
                          <a:rect l="l" t="t" r="r" b="b"/>
                          <a:pathLst>
                            <a:path w="1829435" h="9525">
                              <a:moveTo>
                                <a:pt x="1829053" y="0"/>
                              </a:moveTo>
                              <a:lnTo>
                                <a:pt x="0" y="0"/>
                              </a:lnTo>
                              <a:lnTo>
                                <a:pt x="0" y="9143"/>
                              </a:lnTo>
                              <a:lnTo>
                                <a:pt x="1829053" y="9143"/>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823997pt;margin-top:214.585297pt;width:144.020pt;height:.71997pt;mso-position-horizontal-relative:page;mso-position-vertical-relative:paragraph;z-index:-15727104;mso-wrap-distance-left:0;mso-wrap-distance-right:0" id="docshape5" filled="true" fillcolor="#000000" stroked="false">
                <v:fill type="solid"/>
                <w10:wrap type="topAndBottom"/>
              </v:rect>
            </w:pict>
          </mc:Fallback>
        </mc:AlternateContent>
      </w:r>
      <w:r>
        <w:rPr/>
        <w:t>Ennek a fejezetnek a bevezetőjében már csak egy kérdés vár megválaszolásra. Ha a Harvard módszerről szól, akkor miért is került a Racionális tárgyalás a fejezet címébe? Azért, mert –pontosan úgy, mint a tréning során – szeretném érthetően tagolva felépíteni a tartalmat. A tárgyalásra először, mint racionális érdekérvényesítésre tekintünk. Mi a tárgyszerű, szubsztantív tartalma a tárgyalásnak, és mik a mérhető eredményei? Ez egy tisztán racionális dimenzió. Ehhez illesztjük a kapcsolati kérdéseket, vagyis azokat a megfontolásokat, hogy a tárgyalási stratégia milyen hatással lehet a tárgyszerű</w:t>
      </w:r>
      <w:r>
        <w:rPr>
          <w:spacing w:val="-1"/>
        </w:rPr>
        <w:t> </w:t>
      </w:r>
      <w:r>
        <w:rPr/>
        <w:t>eredményre és</w:t>
      </w:r>
      <w:r>
        <w:rPr>
          <w:spacing w:val="-3"/>
        </w:rPr>
        <w:t> </w:t>
      </w:r>
      <w:r>
        <w:rPr/>
        <w:t>a felek közötti kapcsolatra.</w:t>
      </w:r>
      <w:r>
        <w:rPr>
          <w:spacing w:val="-5"/>
        </w:rPr>
        <w:t> </w:t>
      </w:r>
      <w:r>
        <w:rPr/>
        <w:t>Ezt a témát olyan gyakorlati tanácsokkal zárjuk, amelyek segíthetnek egyszerű és komplex tárgyalások során. Erről szól ez az első fejezet, mint ahogy</w:t>
      </w:r>
      <w:r>
        <w:rPr>
          <w:spacing w:val="40"/>
        </w:rPr>
        <w:t> </w:t>
      </w:r>
      <w:r>
        <w:rPr/>
        <w:t>a tréning első napja is erre koncentrál. Erre az alapra épülnek a következő fejezetekben tárgyalt további</w:t>
      </w:r>
      <w:r>
        <w:rPr>
          <w:spacing w:val="67"/>
        </w:rPr>
        <w:t> </w:t>
      </w:r>
      <w:r>
        <w:rPr/>
        <w:t>gondolatok,</w:t>
      </w:r>
      <w:r>
        <w:rPr>
          <w:spacing w:val="67"/>
        </w:rPr>
        <w:t> </w:t>
      </w:r>
      <w:r>
        <w:rPr/>
        <w:t>amelyek</w:t>
      </w:r>
      <w:r>
        <w:rPr>
          <w:spacing w:val="65"/>
        </w:rPr>
        <w:t> </w:t>
      </w:r>
      <w:r>
        <w:rPr/>
        <w:t>nehezebb,</w:t>
      </w:r>
      <w:r>
        <w:rPr>
          <w:spacing w:val="67"/>
        </w:rPr>
        <w:t> </w:t>
      </w:r>
      <w:r>
        <w:rPr/>
        <w:t>drasztikusan</w:t>
      </w:r>
      <w:r>
        <w:rPr>
          <w:spacing w:val="66"/>
        </w:rPr>
        <w:t> </w:t>
      </w:r>
      <w:r>
        <w:rPr/>
        <w:t>eltérő</w:t>
      </w:r>
      <w:r>
        <w:rPr>
          <w:spacing w:val="68"/>
        </w:rPr>
        <w:t> </w:t>
      </w:r>
      <w:r>
        <w:rPr/>
        <w:t>álláspontok</w:t>
      </w:r>
      <w:r>
        <w:rPr>
          <w:spacing w:val="65"/>
        </w:rPr>
        <w:t> </w:t>
      </w:r>
      <w:r>
        <w:rPr/>
        <w:t>közötti,</w:t>
      </w:r>
      <w:r>
        <w:rPr>
          <w:spacing w:val="64"/>
        </w:rPr>
        <w:t> </w:t>
      </w:r>
      <w:r>
        <w:rPr/>
        <w:t>súlyos</w:t>
      </w:r>
      <w:r>
        <w:rPr>
          <w:spacing w:val="64"/>
        </w:rPr>
        <w:t> </w:t>
      </w:r>
      <w:r>
        <w:rPr/>
        <w:t>érzelmi</w:t>
      </w:r>
    </w:p>
    <w:p>
      <w:pPr>
        <w:spacing w:before="102"/>
        <w:ind w:left="116" w:right="247" w:firstLine="0"/>
        <w:jc w:val="left"/>
        <w:rPr>
          <w:sz w:val="20"/>
        </w:rPr>
      </w:pPr>
      <w:r>
        <w:rPr>
          <w:sz w:val="20"/>
          <w:vertAlign w:val="superscript"/>
        </w:rPr>
        <w:t>8</w:t>
      </w:r>
      <w:r>
        <w:rPr>
          <w:sz w:val="20"/>
          <w:vertAlign w:val="baseline"/>
        </w:rPr>
        <w:t> Fisher, R., - Ury, W. (1981) </w:t>
      </w:r>
      <w:r>
        <w:rPr>
          <w:i/>
          <w:sz w:val="20"/>
          <w:vertAlign w:val="baseline"/>
        </w:rPr>
        <w:t>Getting to Yes: Negotiating Agreement Without Giving In. </w:t>
      </w:r>
      <w:r>
        <w:rPr>
          <w:sz w:val="20"/>
          <w:vertAlign w:val="baseline"/>
        </w:rPr>
        <w:t>New York: Penguin Books.</w:t>
      </w:r>
      <w:r>
        <w:rPr>
          <w:spacing w:val="-4"/>
          <w:sz w:val="20"/>
          <w:vertAlign w:val="baseline"/>
        </w:rPr>
        <w:t> </w:t>
      </w:r>
      <w:r>
        <w:rPr>
          <w:sz w:val="20"/>
          <w:vertAlign w:val="baseline"/>
        </w:rPr>
        <w:t>A</w:t>
      </w:r>
      <w:r>
        <w:rPr>
          <w:spacing w:val="-3"/>
          <w:sz w:val="20"/>
          <w:vertAlign w:val="baseline"/>
        </w:rPr>
        <w:t> </w:t>
      </w:r>
      <w:r>
        <w:rPr>
          <w:sz w:val="20"/>
          <w:vertAlign w:val="baseline"/>
        </w:rPr>
        <w:t>második</w:t>
      </w:r>
      <w:r>
        <w:rPr>
          <w:spacing w:val="-3"/>
          <w:sz w:val="20"/>
          <w:vertAlign w:val="baseline"/>
        </w:rPr>
        <w:t> </w:t>
      </w:r>
      <w:r>
        <w:rPr>
          <w:sz w:val="20"/>
          <w:vertAlign w:val="baseline"/>
        </w:rPr>
        <w:t>kiadás</w:t>
      </w:r>
      <w:r>
        <w:rPr>
          <w:spacing w:val="-4"/>
          <w:sz w:val="20"/>
          <w:vertAlign w:val="baseline"/>
        </w:rPr>
        <w:t> </w:t>
      </w:r>
      <w:r>
        <w:rPr>
          <w:sz w:val="20"/>
          <w:vertAlign w:val="baseline"/>
        </w:rPr>
        <w:t>alapján</w:t>
      </w:r>
      <w:r>
        <w:rPr>
          <w:spacing w:val="-3"/>
          <w:sz w:val="20"/>
          <w:vertAlign w:val="baseline"/>
        </w:rPr>
        <w:t> </w:t>
      </w:r>
      <w:r>
        <w:rPr>
          <w:sz w:val="20"/>
          <w:vertAlign w:val="baseline"/>
        </w:rPr>
        <w:t>készült</w:t>
      </w:r>
      <w:r>
        <w:rPr>
          <w:spacing w:val="-3"/>
          <w:sz w:val="20"/>
          <w:vertAlign w:val="baseline"/>
        </w:rPr>
        <w:t> </w:t>
      </w:r>
      <w:r>
        <w:rPr>
          <w:sz w:val="20"/>
          <w:vertAlign w:val="baseline"/>
        </w:rPr>
        <w:t>magyar</w:t>
      </w:r>
      <w:r>
        <w:rPr>
          <w:spacing w:val="-3"/>
          <w:sz w:val="20"/>
          <w:vertAlign w:val="baseline"/>
        </w:rPr>
        <w:t> </w:t>
      </w:r>
      <w:r>
        <w:rPr>
          <w:sz w:val="20"/>
          <w:vertAlign w:val="baseline"/>
        </w:rPr>
        <w:t>fordítás: Fisher,</w:t>
      </w:r>
      <w:r>
        <w:rPr>
          <w:spacing w:val="-2"/>
          <w:sz w:val="20"/>
          <w:vertAlign w:val="baseline"/>
        </w:rPr>
        <w:t> </w:t>
      </w:r>
      <w:r>
        <w:rPr>
          <w:sz w:val="20"/>
          <w:vertAlign w:val="baseline"/>
        </w:rPr>
        <w:t>R.</w:t>
      </w:r>
      <w:r>
        <w:rPr>
          <w:spacing w:val="-3"/>
          <w:sz w:val="20"/>
          <w:vertAlign w:val="baseline"/>
        </w:rPr>
        <w:t> </w:t>
      </w:r>
      <w:r>
        <w:rPr>
          <w:sz w:val="20"/>
          <w:vertAlign w:val="baseline"/>
        </w:rPr>
        <w:t>–</w:t>
      </w:r>
      <w:r>
        <w:rPr>
          <w:spacing w:val="-4"/>
          <w:sz w:val="20"/>
          <w:vertAlign w:val="baseline"/>
        </w:rPr>
        <w:t> </w:t>
      </w:r>
      <w:r>
        <w:rPr>
          <w:sz w:val="20"/>
          <w:vertAlign w:val="baseline"/>
        </w:rPr>
        <w:t>UryW.,</w:t>
      </w:r>
      <w:r>
        <w:rPr>
          <w:spacing w:val="-2"/>
          <w:sz w:val="20"/>
          <w:vertAlign w:val="baseline"/>
        </w:rPr>
        <w:t> </w:t>
      </w:r>
      <w:r>
        <w:rPr>
          <w:sz w:val="20"/>
          <w:vertAlign w:val="baseline"/>
        </w:rPr>
        <w:t>–</w:t>
      </w:r>
      <w:r>
        <w:rPr>
          <w:spacing w:val="-4"/>
          <w:sz w:val="20"/>
          <w:vertAlign w:val="baseline"/>
        </w:rPr>
        <w:t> </w:t>
      </w:r>
      <w:r>
        <w:rPr>
          <w:sz w:val="20"/>
          <w:vertAlign w:val="baseline"/>
        </w:rPr>
        <w:t>Patton</w:t>
      </w:r>
      <w:r>
        <w:rPr>
          <w:spacing w:val="-2"/>
          <w:sz w:val="20"/>
          <w:vertAlign w:val="baseline"/>
        </w:rPr>
        <w:t> </w:t>
      </w:r>
      <w:r>
        <w:rPr>
          <w:sz w:val="20"/>
          <w:vertAlign w:val="baseline"/>
        </w:rPr>
        <w:t>B.,:</w:t>
      </w:r>
      <w:r>
        <w:rPr>
          <w:spacing w:val="-1"/>
          <w:sz w:val="20"/>
          <w:vertAlign w:val="baseline"/>
        </w:rPr>
        <w:t> </w:t>
      </w:r>
      <w:r>
        <w:rPr>
          <w:i/>
          <w:sz w:val="20"/>
          <w:vertAlign w:val="baseline"/>
        </w:rPr>
        <w:t>A</w:t>
      </w:r>
      <w:r>
        <w:rPr>
          <w:i/>
          <w:spacing w:val="-4"/>
          <w:sz w:val="20"/>
          <w:vertAlign w:val="baseline"/>
        </w:rPr>
        <w:t> </w:t>
      </w:r>
      <w:r>
        <w:rPr>
          <w:i/>
          <w:sz w:val="20"/>
          <w:vertAlign w:val="baseline"/>
        </w:rPr>
        <w:t>sikeres</w:t>
      </w:r>
      <w:r>
        <w:rPr>
          <w:i/>
          <w:spacing w:val="-4"/>
          <w:sz w:val="20"/>
          <w:vertAlign w:val="baseline"/>
        </w:rPr>
        <w:t> </w:t>
      </w:r>
      <w:r>
        <w:rPr>
          <w:i/>
          <w:sz w:val="20"/>
          <w:vertAlign w:val="baseline"/>
        </w:rPr>
        <w:t>tárgyalás</w:t>
      </w:r>
      <w:r>
        <w:rPr>
          <w:i/>
          <w:sz w:val="20"/>
          <w:vertAlign w:val="baseline"/>
        </w:rPr>
        <w:t> alapjai</w:t>
      </w:r>
      <w:r>
        <w:rPr>
          <w:sz w:val="20"/>
          <w:vertAlign w:val="baseline"/>
        </w:rPr>
        <w:t>. Bagolyvár Könyvkiadó, Budapest, 1997.</w:t>
      </w:r>
    </w:p>
    <w:p>
      <w:pPr>
        <w:spacing w:after="0"/>
        <w:jc w:val="left"/>
        <w:rPr>
          <w:sz w:val="20"/>
        </w:rPr>
        <w:sectPr>
          <w:pgSz w:w="11910" w:h="16840"/>
          <w:pgMar w:header="0" w:footer="1002" w:top="1920" w:bottom="1200" w:left="1300" w:right="1200"/>
        </w:sectPr>
      </w:pPr>
    </w:p>
    <w:p>
      <w:pPr>
        <w:pStyle w:val="BodyText"/>
        <w:spacing w:line="362" w:lineRule="auto" w:before="34"/>
        <w:ind w:left="116" w:right="219"/>
        <w:jc w:val="both"/>
      </w:pPr>
      <w:r>
        <w:rPr/>
        <w:t>tartalommal, és identitáskérdésekkel terhelt szituációkban és konfliktusokban alkalmazható módszerekről szólnak.</w:t>
      </w:r>
    </w:p>
    <w:p>
      <w:pPr>
        <w:pStyle w:val="BodyText"/>
      </w:pPr>
    </w:p>
    <w:p>
      <w:pPr>
        <w:pStyle w:val="BodyText"/>
      </w:pPr>
    </w:p>
    <w:p>
      <w:pPr>
        <w:pStyle w:val="BodyText"/>
      </w:pPr>
    </w:p>
    <w:p>
      <w:pPr>
        <w:pStyle w:val="BodyText"/>
      </w:pPr>
    </w:p>
    <w:p>
      <w:pPr>
        <w:pStyle w:val="BodyText"/>
        <w:spacing w:before="60"/>
      </w:pPr>
    </w:p>
    <w:p>
      <w:pPr>
        <w:pStyle w:val="Heading2"/>
        <w:numPr>
          <w:ilvl w:val="1"/>
          <w:numId w:val="1"/>
        </w:numPr>
        <w:tabs>
          <w:tab w:pos="598" w:val="left" w:leader="none"/>
        </w:tabs>
        <w:spacing w:line="240" w:lineRule="auto" w:before="0" w:after="0"/>
        <w:ind w:left="598" w:right="0" w:hanging="482"/>
        <w:jc w:val="left"/>
      </w:pPr>
      <w:r>
        <w:rPr>
          <w:color w:val="4F81BC"/>
        </w:rPr>
        <w:t>A</w:t>
      </w:r>
      <w:r>
        <w:rPr>
          <w:color w:val="4F81BC"/>
          <w:spacing w:val="-10"/>
        </w:rPr>
        <w:t> </w:t>
      </w:r>
      <w:r>
        <w:rPr>
          <w:color w:val="4F81BC"/>
        </w:rPr>
        <w:t>versengő</w:t>
      </w:r>
      <w:r>
        <w:rPr>
          <w:color w:val="4F81BC"/>
          <w:spacing w:val="-10"/>
        </w:rPr>
        <w:t> </w:t>
      </w:r>
      <w:r>
        <w:rPr>
          <w:color w:val="4F81BC"/>
        </w:rPr>
        <w:t>és</w:t>
      </w:r>
      <w:r>
        <w:rPr>
          <w:color w:val="4F81BC"/>
          <w:spacing w:val="-8"/>
        </w:rPr>
        <w:t> </w:t>
      </w:r>
      <w:r>
        <w:rPr>
          <w:color w:val="4F81BC"/>
        </w:rPr>
        <w:t>együttműködő</w:t>
      </w:r>
      <w:r>
        <w:rPr>
          <w:color w:val="4F81BC"/>
          <w:spacing w:val="-10"/>
        </w:rPr>
        <w:t> </w:t>
      </w:r>
      <w:r>
        <w:rPr>
          <w:color w:val="4F81BC"/>
          <w:spacing w:val="-2"/>
        </w:rPr>
        <w:t>tárgyalás</w:t>
      </w:r>
    </w:p>
    <w:p>
      <w:pPr>
        <w:pStyle w:val="BodyText"/>
        <w:rPr>
          <w:rFonts w:ascii="Cambria"/>
          <w:b/>
          <w:sz w:val="26"/>
        </w:rPr>
      </w:pPr>
    </w:p>
    <w:p>
      <w:pPr>
        <w:pStyle w:val="BodyText"/>
        <w:spacing w:before="143"/>
        <w:rPr>
          <w:rFonts w:ascii="Cambria"/>
          <w:b/>
          <w:sz w:val="26"/>
        </w:rPr>
      </w:pPr>
    </w:p>
    <w:p>
      <w:pPr>
        <w:pStyle w:val="BodyText"/>
        <w:spacing w:line="362" w:lineRule="auto" w:before="1"/>
        <w:ind w:left="116" w:right="213"/>
        <w:jc w:val="both"/>
      </w:pPr>
      <w:r>
        <w:rPr/>
        <w:t>Már eddig is használtam az együttműködő tárgyalás/folyamat kifejezést, mivel a Harvard módszer alapját az együttműködő tárgyalás módszere jelenti. Mielőtt továbblépek, érdemes ennek a</w:t>
      </w:r>
      <w:r>
        <w:rPr>
          <w:spacing w:val="40"/>
        </w:rPr>
        <w:t> </w:t>
      </w:r>
      <w:r>
        <w:rPr/>
        <w:t>tárgyalási stratégiának a lényegét jobban megvilágítani. Az együttműködő tárgyalást legkönnyebben</w:t>
      </w:r>
      <w:r>
        <w:rPr>
          <w:spacing w:val="40"/>
        </w:rPr>
        <w:t> </w:t>
      </w:r>
      <w:r>
        <w:rPr/>
        <w:t>a versengő tárgyalással összehasonlítva lehet megérteni. Nézzük ezért először a versengő stratégiát.</w:t>
      </w:r>
    </w:p>
    <w:p>
      <w:pPr>
        <w:pStyle w:val="BodyText"/>
      </w:pPr>
    </w:p>
    <w:p>
      <w:pPr>
        <w:pStyle w:val="BodyText"/>
        <w:spacing w:before="258"/>
      </w:pPr>
    </w:p>
    <w:p>
      <w:pPr>
        <w:pStyle w:val="Heading3"/>
        <w:numPr>
          <w:ilvl w:val="2"/>
          <w:numId w:val="1"/>
        </w:numPr>
        <w:tabs>
          <w:tab w:pos="703" w:val="left" w:leader="none"/>
        </w:tabs>
        <w:spacing w:line="240" w:lineRule="auto" w:before="0" w:after="0"/>
        <w:ind w:left="703" w:right="0" w:hanging="587"/>
        <w:jc w:val="left"/>
        <w:rPr>
          <w:rFonts w:ascii="Cambria" w:hAnsi="Cambria"/>
          <w:sz w:val="14"/>
        </w:rPr>
      </w:pPr>
      <w:r>
        <w:rPr>
          <w:rFonts w:ascii="Cambria" w:hAnsi="Cambria"/>
          <w:color w:val="4F81BC"/>
        </w:rPr>
        <w:t>A</w:t>
      </w:r>
      <w:r>
        <w:rPr>
          <w:rFonts w:ascii="Cambria" w:hAnsi="Cambria"/>
          <w:color w:val="4F81BC"/>
          <w:spacing w:val="-3"/>
        </w:rPr>
        <w:t> </w:t>
      </w:r>
      <w:r>
        <w:rPr>
          <w:rFonts w:ascii="Cambria" w:hAnsi="Cambria"/>
          <w:color w:val="4F81BC"/>
        </w:rPr>
        <w:t>versengő</w:t>
      </w:r>
      <w:r>
        <w:rPr>
          <w:rFonts w:ascii="Cambria" w:hAnsi="Cambria"/>
          <w:color w:val="4F81BC"/>
          <w:spacing w:val="-3"/>
        </w:rPr>
        <w:t> </w:t>
      </w:r>
      <w:r>
        <w:rPr>
          <w:rFonts w:ascii="Cambria" w:hAnsi="Cambria"/>
          <w:color w:val="4F81BC"/>
          <w:spacing w:val="-2"/>
        </w:rPr>
        <w:t>tárgyalás</w:t>
      </w:r>
      <w:r>
        <w:rPr>
          <w:rFonts w:ascii="Cambria" w:hAnsi="Cambria"/>
          <w:color w:val="4F81BC"/>
          <w:spacing w:val="-2"/>
          <w:position w:val="5"/>
          <w:sz w:val="14"/>
        </w:rPr>
        <w:t>9</w:t>
      </w:r>
    </w:p>
    <w:p>
      <w:pPr>
        <w:pStyle w:val="BodyText"/>
        <w:rPr>
          <w:rFonts w:ascii="Cambria"/>
          <w:b/>
        </w:rPr>
      </w:pPr>
    </w:p>
    <w:p>
      <w:pPr>
        <w:pStyle w:val="BodyText"/>
        <w:spacing w:before="215"/>
        <w:rPr>
          <w:rFonts w:ascii="Cambria"/>
          <w:b/>
        </w:rPr>
      </w:pPr>
    </w:p>
    <w:p>
      <w:pPr>
        <w:pStyle w:val="BodyText"/>
        <w:spacing w:line="360" w:lineRule="auto"/>
        <w:ind w:left="116" w:right="212"/>
        <w:jc w:val="both"/>
      </w:pPr>
      <w:r>
        <w:rPr/>
        <w:t>A versengés az individuális beállítottságú nyugati kultúra meghatározó eleme. Gondolkozzunk csak el azon, milyen az a vitakultúra, amit nap, mint nap otthon, a TV-ben, a közéletben, vagy akár baráti kapcsolatainkban látunk és tapasztalunk! A vitázók figyelme általában arra összpontosul, hogy saját nézőpontjukat minél jobban megfogalmazzák. Amikor a másik felet hallgatja a vitatkozó, ahelyett, hogy az</w:t>
      </w:r>
      <w:r>
        <w:rPr>
          <w:spacing w:val="-1"/>
        </w:rPr>
        <w:t> </w:t>
      </w:r>
      <w:r>
        <w:rPr/>
        <w:t>ő nézőpontját próbálná befogadni, arra figyel, hogy hogyan</w:t>
      </w:r>
      <w:r>
        <w:rPr>
          <w:spacing w:val="-1"/>
        </w:rPr>
        <w:t> </w:t>
      </w:r>
      <w:r>
        <w:rPr/>
        <w:t>tudná megdönteni a másik érveit és megvédeni a saját álláspontját. Mivel a sikert a vitázó általában abban méri, hogy kiinduló álláspontja mennyiben győzött, figyelme alapvetően taktikai, és nem nyitott, befogadó a másik fél felé. Ezt a stratégiát nevezik pozíció alapú versengésnek. A pozíció azt az álláspontot jelenti, amit a vitatkozó, vagy tárgyaló kialakított, és amiért harcol. A versengés tárgya a saját pozíció védelme és mind nagyobb mértékű elfogadtatása.</w:t>
      </w:r>
    </w:p>
    <w:p>
      <w:pPr>
        <w:pStyle w:val="BodyText"/>
        <w:spacing w:line="360" w:lineRule="auto" w:before="201"/>
        <w:ind w:left="116" w:right="212"/>
        <w:jc w:val="both"/>
      </w:pPr>
      <w:r>
        <w:rPr/>
        <w:t>Mi a probléma ezzel? Alapvetően az, hogy kevés esélyt ad arra, hogy az álláspontok közeledjenek, a felek tudása és bölcsessége összegződjön, és a párbeszéd új, jobb megoldásokat eredményezzen. Hasonló a helyzet az üzleti és érdekvitákban is. Ha csak a saját álláspontomra, pozíciómra koncentrálok, és azért küzdök, hogy azt védjem, lehet, hogy nagyobb részt hozok el a felosztható haszonból,</w:t>
      </w:r>
      <w:r>
        <w:rPr>
          <w:spacing w:val="23"/>
        </w:rPr>
        <w:t> </w:t>
      </w:r>
      <w:r>
        <w:rPr/>
        <w:t>de</w:t>
      </w:r>
      <w:r>
        <w:rPr>
          <w:spacing w:val="22"/>
        </w:rPr>
        <w:t> </w:t>
      </w:r>
      <w:r>
        <w:rPr/>
        <w:t>csekély</w:t>
      </w:r>
      <w:r>
        <w:rPr>
          <w:spacing w:val="25"/>
        </w:rPr>
        <w:t> </w:t>
      </w:r>
      <w:r>
        <w:rPr/>
        <w:t>eséllyel</w:t>
      </w:r>
      <w:r>
        <w:rPr>
          <w:spacing w:val="24"/>
        </w:rPr>
        <w:t> </w:t>
      </w:r>
      <w:r>
        <w:rPr/>
        <w:t>tudom</w:t>
      </w:r>
      <w:r>
        <w:rPr>
          <w:spacing w:val="23"/>
        </w:rPr>
        <w:t> </w:t>
      </w:r>
      <w:r>
        <w:rPr/>
        <w:t>csak</w:t>
      </w:r>
      <w:r>
        <w:rPr>
          <w:spacing w:val="24"/>
        </w:rPr>
        <w:t> </w:t>
      </w:r>
      <w:r>
        <w:rPr/>
        <w:t>bővíteni</w:t>
      </w:r>
      <w:r>
        <w:rPr>
          <w:spacing w:val="21"/>
        </w:rPr>
        <w:t> </w:t>
      </w:r>
      <w:r>
        <w:rPr/>
        <w:t>a</w:t>
      </w:r>
      <w:r>
        <w:rPr>
          <w:spacing w:val="22"/>
        </w:rPr>
        <w:t> </w:t>
      </w:r>
      <w:r>
        <w:rPr/>
        <w:t>felosztható</w:t>
      </w:r>
      <w:r>
        <w:rPr>
          <w:spacing w:val="22"/>
        </w:rPr>
        <w:t> </w:t>
      </w:r>
      <w:r>
        <w:rPr/>
        <w:t>javakat.</w:t>
      </w:r>
      <w:r>
        <w:rPr>
          <w:spacing w:val="24"/>
        </w:rPr>
        <w:t> </w:t>
      </w:r>
      <w:r>
        <w:rPr/>
        <w:t>A</w:t>
      </w:r>
      <w:r>
        <w:rPr>
          <w:spacing w:val="21"/>
        </w:rPr>
        <w:t> </w:t>
      </w:r>
      <w:r>
        <w:rPr/>
        <w:t>tárgyalás</w:t>
      </w:r>
      <w:r>
        <w:rPr>
          <w:spacing w:val="24"/>
        </w:rPr>
        <w:t> </w:t>
      </w:r>
      <w:r>
        <w:rPr/>
        <w:t>tudománya</w:t>
      </w:r>
      <w:r>
        <w:rPr>
          <w:spacing w:val="28"/>
        </w:rPr>
        <w:t> </w:t>
      </w:r>
      <w:r>
        <w:rPr/>
        <w:t>–</w:t>
      </w:r>
    </w:p>
    <w:p>
      <w:pPr>
        <w:pStyle w:val="BodyText"/>
        <w:spacing w:before="6"/>
        <w:rPr>
          <w:sz w:val="17"/>
        </w:rPr>
      </w:pPr>
      <w:r>
        <w:rPr/>
        <mc:AlternateContent>
          <mc:Choice Requires="wps">
            <w:drawing>
              <wp:anchor distT="0" distB="0" distL="0" distR="0" allowOverlap="1" layoutInCell="1" locked="0" behindDoc="1" simplePos="0" relativeHeight="487589888">
                <wp:simplePos x="0" y="0"/>
                <wp:positionH relativeFrom="page">
                  <wp:posOffset>899464</wp:posOffset>
                </wp:positionH>
                <wp:positionV relativeFrom="paragraph">
                  <wp:posOffset>151338</wp:posOffset>
                </wp:positionV>
                <wp:extent cx="1829435" cy="9525"/>
                <wp:effectExtent l="0" t="0" r="0" b="0"/>
                <wp:wrapTopAndBottom/>
                <wp:docPr id="6" name="Graphic 6"/>
                <wp:cNvGraphicFramePr>
                  <a:graphicFrameLocks/>
                </wp:cNvGraphicFramePr>
                <a:graphic>
                  <a:graphicData uri="http://schemas.microsoft.com/office/word/2010/wordprocessingShape">
                    <wps:wsp>
                      <wps:cNvPr id="6" name="Graphic 6"/>
                      <wps:cNvSpPr/>
                      <wps:spPr>
                        <a:xfrm>
                          <a:off x="0" y="0"/>
                          <a:ext cx="1829435" cy="9525"/>
                        </a:xfrm>
                        <a:custGeom>
                          <a:avLst/>
                          <a:gdLst/>
                          <a:ahLst/>
                          <a:cxnLst/>
                          <a:rect l="l" t="t" r="r" b="b"/>
                          <a:pathLst>
                            <a:path w="1829435" h="9525">
                              <a:moveTo>
                                <a:pt x="1829053" y="0"/>
                              </a:moveTo>
                              <a:lnTo>
                                <a:pt x="0" y="0"/>
                              </a:lnTo>
                              <a:lnTo>
                                <a:pt x="0" y="9143"/>
                              </a:lnTo>
                              <a:lnTo>
                                <a:pt x="1829053" y="9143"/>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823997pt;margin-top:11.916436pt;width:144.020pt;height:.71997pt;mso-position-horizontal-relative:page;mso-position-vertical-relative:paragraph;z-index:-15726592;mso-wrap-distance-left:0;mso-wrap-distance-right:0" id="docshape6" filled="true" fillcolor="#000000" stroked="false">
                <v:fill type="solid"/>
                <w10:wrap type="topAndBottom"/>
              </v:rect>
            </w:pict>
          </mc:Fallback>
        </mc:AlternateContent>
      </w:r>
    </w:p>
    <w:p>
      <w:pPr>
        <w:spacing w:before="102"/>
        <w:ind w:left="116" w:right="459" w:firstLine="0"/>
        <w:jc w:val="both"/>
        <w:rPr>
          <w:sz w:val="20"/>
        </w:rPr>
      </w:pPr>
      <w:r>
        <w:rPr>
          <w:sz w:val="20"/>
          <w:vertAlign w:val="superscript"/>
        </w:rPr>
        <w:t>9</w:t>
      </w:r>
      <w:r>
        <w:rPr>
          <w:spacing w:val="-5"/>
          <w:sz w:val="20"/>
          <w:vertAlign w:val="baseline"/>
        </w:rPr>
        <w:t> </w:t>
      </w:r>
      <w:r>
        <w:rPr>
          <w:sz w:val="20"/>
          <w:vertAlign w:val="baseline"/>
        </w:rPr>
        <w:t>Angolul:</w:t>
      </w:r>
      <w:r>
        <w:rPr>
          <w:spacing w:val="-5"/>
          <w:sz w:val="20"/>
          <w:vertAlign w:val="baseline"/>
        </w:rPr>
        <w:t> </w:t>
      </w:r>
      <w:r>
        <w:rPr>
          <w:sz w:val="20"/>
          <w:vertAlign w:val="baseline"/>
        </w:rPr>
        <w:t>Competitive</w:t>
      </w:r>
      <w:r>
        <w:rPr>
          <w:spacing w:val="-3"/>
          <w:sz w:val="20"/>
          <w:vertAlign w:val="baseline"/>
        </w:rPr>
        <w:t> </w:t>
      </w:r>
      <w:r>
        <w:rPr>
          <w:sz w:val="20"/>
          <w:vertAlign w:val="baseline"/>
        </w:rPr>
        <w:t>vagy</w:t>
      </w:r>
      <w:r>
        <w:rPr>
          <w:spacing w:val="-3"/>
          <w:sz w:val="20"/>
          <w:vertAlign w:val="baseline"/>
        </w:rPr>
        <w:t> </w:t>
      </w:r>
      <w:r>
        <w:rPr>
          <w:sz w:val="20"/>
          <w:vertAlign w:val="baseline"/>
        </w:rPr>
        <w:t>position</w:t>
      </w:r>
      <w:r>
        <w:rPr>
          <w:spacing w:val="-4"/>
          <w:sz w:val="20"/>
          <w:vertAlign w:val="baseline"/>
        </w:rPr>
        <w:t> </w:t>
      </w:r>
      <w:r>
        <w:rPr>
          <w:sz w:val="20"/>
          <w:vertAlign w:val="baseline"/>
        </w:rPr>
        <w:t>based</w:t>
      </w:r>
      <w:r>
        <w:rPr>
          <w:spacing w:val="-4"/>
          <w:sz w:val="20"/>
          <w:vertAlign w:val="baseline"/>
        </w:rPr>
        <w:t> </w:t>
      </w:r>
      <w:r>
        <w:rPr>
          <w:sz w:val="20"/>
          <w:vertAlign w:val="baseline"/>
        </w:rPr>
        <w:t>barganing/negotiation.</w:t>
      </w:r>
      <w:r>
        <w:rPr>
          <w:spacing w:val="-4"/>
          <w:sz w:val="20"/>
          <w:vertAlign w:val="baseline"/>
        </w:rPr>
        <w:t> </w:t>
      </w:r>
      <w:r>
        <w:rPr>
          <w:sz w:val="20"/>
          <w:vertAlign w:val="baseline"/>
        </w:rPr>
        <w:t>Nagyon</w:t>
      </w:r>
      <w:r>
        <w:rPr>
          <w:spacing w:val="-4"/>
          <w:sz w:val="20"/>
          <w:vertAlign w:val="baseline"/>
        </w:rPr>
        <w:t> </w:t>
      </w:r>
      <w:r>
        <w:rPr>
          <w:sz w:val="20"/>
          <w:vertAlign w:val="baseline"/>
        </w:rPr>
        <w:t>sok</w:t>
      </w:r>
      <w:r>
        <w:rPr>
          <w:spacing w:val="-4"/>
          <w:sz w:val="20"/>
          <w:vertAlign w:val="baseline"/>
        </w:rPr>
        <w:t> </w:t>
      </w:r>
      <w:r>
        <w:rPr>
          <w:sz w:val="20"/>
          <w:vertAlign w:val="baseline"/>
        </w:rPr>
        <w:t>tárgyalási</w:t>
      </w:r>
      <w:r>
        <w:rPr>
          <w:spacing w:val="-5"/>
          <w:sz w:val="20"/>
          <w:vertAlign w:val="baseline"/>
        </w:rPr>
        <w:t> </w:t>
      </w:r>
      <w:r>
        <w:rPr>
          <w:sz w:val="20"/>
          <w:vertAlign w:val="baseline"/>
        </w:rPr>
        <w:t>kézikönyv</w:t>
      </w:r>
      <w:r>
        <w:rPr>
          <w:spacing w:val="-6"/>
          <w:sz w:val="20"/>
          <w:vertAlign w:val="baseline"/>
        </w:rPr>
        <w:t> </w:t>
      </w:r>
      <w:r>
        <w:rPr>
          <w:sz w:val="20"/>
          <w:vertAlign w:val="baseline"/>
        </w:rPr>
        <w:t>tárgyalja. Kitűnő, gyakorlatias</w:t>
      </w:r>
      <w:r>
        <w:rPr>
          <w:spacing w:val="-2"/>
          <w:sz w:val="20"/>
          <w:vertAlign w:val="baseline"/>
        </w:rPr>
        <w:t> </w:t>
      </w:r>
      <w:r>
        <w:rPr>
          <w:sz w:val="20"/>
          <w:vertAlign w:val="baseline"/>
        </w:rPr>
        <w:t>és részletes</w:t>
      </w:r>
      <w:r>
        <w:rPr>
          <w:spacing w:val="-2"/>
          <w:sz w:val="20"/>
          <w:vertAlign w:val="baseline"/>
        </w:rPr>
        <w:t> </w:t>
      </w:r>
      <w:r>
        <w:rPr>
          <w:sz w:val="20"/>
          <w:vertAlign w:val="baseline"/>
        </w:rPr>
        <w:t>tárgyalása található pl.</w:t>
      </w:r>
      <w:r>
        <w:rPr>
          <w:spacing w:val="-1"/>
          <w:sz w:val="20"/>
          <w:vertAlign w:val="baseline"/>
        </w:rPr>
        <w:t> </w:t>
      </w:r>
      <w:r>
        <w:rPr>
          <w:sz w:val="20"/>
          <w:vertAlign w:val="baseline"/>
        </w:rPr>
        <w:t>Malhotra–Bazeman:</w:t>
      </w:r>
      <w:r>
        <w:rPr>
          <w:spacing w:val="-1"/>
          <w:sz w:val="20"/>
          <w:vertAlign w:val="baseline"/>
        </w:rPr>
        <w:t> </w:t>
      </w:r>
      <w:r>
        <w:rPr>
          <w:sz w:val="20"/>
          <w:vertAlign w:val="baseline"/>
        </w:rPr>
        <w:t>Negotiation Genius</w:t>
      </w:r>
      <w:r>
        <w:rPr>
          <w:spacing w:val="-2"/>
          <w:sz w:val="20"/>
          <w:vertAlign w:val="baseline"/>
        </w:rPr>
        <w:t> </w:t>
      </w:r>
      <w:r>
        <w:rPr>
          <w:sz w:val="20"/>
          <w:vertAlign w:val="baseline"/>
        </w:rPr>
        <w:t>(2007)</w:t>
      </w:r>
      <w:r>
        <w:rPr>
          <w:spacing w:val="-1"/>
          <w:sz w:val="20"/>
          <w:vertAlign w:val="baseline"/>
        </w:rPr>
        <w:t> </w:t>
      </w:r>
      <w:r>
        <w:rPr>
          <w:sz w:val="20"/>
          <w:vertAlign w:val="baseline"/>
        </w:rPr>
        <w:t>című </w:t>
      </w:r>
      <w:r>
        <w:rPr>
          <w:spacing w:val="-2"/>
          <w:sz w:val="20"/>
          <w:vertAlign w:val="baseline"/>
        </w:rPr>
        <w:t>könyvében.</w:t>
      </w:r>
    </w:p>
    <w:p>
      <w:pPr>
        <w:spacing w:after="0"/>
        <w:jc w:val="both"/>
        <w:rPr>
          <w:sz w:val="20"/>
        </w:rPr>
        <w:sectPr>
          <w:pgSz w:w="11910" w:h="16840"/>
          <w:pgMar w:header="0" w:footer="1002" w:top="1360" w:bottom="1200" w:left="1300" w:right="1200"/>
        </w:sectPr>
      </w:pPr>
    </w:p>
    <w:p>
      <w:pPr>
        <w:pStyle w:val="BodyText"/>
        <w:spacing w:line="362" w:lineRule="auto" w:before="34"/>
        <w:ind w:left="116" w:right="213"/>
        <w:jc w:val="both"/>
      </w:pPr>
      <w:r>
        <w:rPr/>
        <w:t>például</w:t>
      </w:r>
      <w:r>
        <w:rPr>
          <w:spacing w:val="40"/>
        </w:rPr>
        <w:t> </w:t>
      </w:r>
      <w:r>
        <w:rPr/>
        <w:t>az egyetemeken oktatott tárgyalási ismeretek – is nagyon sokáig erre a versengő felfogásra </w:t>
      </w:r>
      <w:r>
        <w:rPr>
          <w:spacing w:val="-2"/>
        </w:rPr>
        <w:t>épült.</w:t>
      </w:r>
    </w:p>
    <w:p>
      <w:pPr>
        <w:pStyle w:val="BodyText"/>
        <w:spacing w:line="360" w:lineRule="auto" w:before="195"/>
        <w:ind w:left="116" w:right="212"/>
        <w:jc w:val="both"/>
      </w:pPr>
      <w:r>
        <w:rPr/>
        <w:t>E rövid bevezető után nézzük a </w:t>
      </w:r>
      <w:r>
        <w:rPr>
          <w:i/>
        </w:rPr>
        <w:t>versengő tárgyalást</w:t>
      </w:r>
      <w:r>
        <w:rPr>
          <w:i/>
          <w:vertAlign w:val="superscript"/>
        </w:rPr>
        <w:t>10</w:t>
      </w:r>
      <w:r>
        <w:rPr>
          <w:i/>
          <w:spacing w:val="-3"/>
          <w:vertAlign w:val="baseline"/>
        </w:rPr>
        <w:t> </w:t>
      </w:r>
      <w:r>
        <w:rPr>
          <w:vertAlign w:val="baseline"/>
        </w:rPr>
        <w:t>egy kicsit részletesebben. A versengő tárgyalás célja a saját érdek minél eredményesebb érvényesítése a másik fél érdekeivel szemben.</w:t>
      </w:r>
      <w:r>
        <w:rPr>
          <w:spacing w:val="40"/>
          <w:vertAlign w:val="baseline"/>
        </w:rPr>
        <w:t> </w:t>
      </w:r>
      <w:r>
        <w:rPr>
          <w:vertAlign w:val="baseline"/>
        </w:rPr>
        <w:t>Célja a győzelem, ami a tárgyalás tárgyát jelentő előnyök minél nagyobb részének a megszerzését jelenti. Az amerikaiak találóan ezt úgy mondják, hogy a cél a „torta” minél nagyobb szeletének megszerzése. Talán ez így logikusnak is tűnik,nem?</w:t>
      </w:r>
    </w:p>
    <w:p>
      <w:pPr>
        <w:pStyle w:val="BodyText"/>
        <w:spacing w:line="360" w:lineRule="auto" w:before="201"/>
        <w:ind w:left="116" w:right="213"/>
        <w:jc w:val="both"/>
      </w:pPr>
      <w:r>
        <w:rPr/>
        <w:t>Mi következik ebből? Mivel a cél a „torta” minél nagyobb szeletének megszerzése, a versengő tárgyaló a tárgyalás során a tárgyalópartnert ellenfélnek tekinti. E felfogás mélyén az rejlik, hogy a tárgyaló a torta méretét adottnak feltételezi. Az adott méretű torta képzete miatt válik a versengő tárgyalás zéró összegű játszmává. Ugyanis egészen addig, amíg azt feltételezem, hogy a felosztható előnyök,</w:t>
      </w:r>
      <w:r>
        <w:rPr>
          <w:spacing w:val="-2"/>
        </w:rPr>
        <w:t> </w:t>
      </w:r>
      <w:r>
        <w:rPr/>
        <w:t>vagyis a torta</w:t>
      </w:r>
      <w:r>
        <w:rPr>
          <w:spacing w:val="-2"/>
        </w:rPr>
        <w:t> </w:t>
      </w:r>
      <w:r>
        <w:rPr/>
        <w:t>mérete adott,</w:t>
      </w:r>
      <w:r>
        <w:rPr>
          <w:spacing w:val="-2"/>
        </w:rPr>
        <w:t> </w:t>
      </w:r>
      <w:r>
        <w:rPr/>
        <w:t>racionális stratégia arra fókuszálni csak, hogy mennyi jut nekem a</w:t>
      </w:r>
      <w:r>
        <w:rPr>
          <w:spacing w:val="40"/>
        </w:rPr>
        <w:t> </w:t>
      </w:r>
      <w:r>
        <w:rPr/>
        <w:t>felosztás során.</w:t>
      </w:r>
    </w:p>
    <w:p>
      <w:pPr>
        <w:pStyle w:val="BodyText"/>
        <w:spacing w:line="360" w:lineRule="auto" w:before="200"/>
        <w:ind w:left="116" w:right="211"/>
        <w:jc w:val="both"/>
      </w:pPr>
      <w:r>
        <w:rPr/>
        <w:t>A tortaszelet megszerzésért taktikai harc alakul ki. Az okos tárgyaló még a tárgyalás előtt mérlegeli,</w:t>
      </w:r>
      <w:r>
        <w:rPr>
          <w:spacing w:val="40"/>
        </w:rPr>
        <w:t> </w:t>
      </w:r>
      <w:r>
        <w:rPr/>
        <w:t>mi az a minimális eredmény (minimális cél), amivel hajlandó felállni, és megpróbálja azt is kitalálni, hogy mi az a pont, amivel a másik még megelégedhet (maximális cél). Meggyőződése, hogy a lehetséges alku valahol e két pont között alakulhat ki. Ebben az egydimenziós keretben jelöl ki egy pozíciót, amit el szeretne érni, és innentől ezért harcol. Hasonló mérlegelés után ül a másik fél is a tárgyalóasztalhoz.</w:t>
      </w:r>
      <w:r>
        <w:rPr>
          <w:spacing w:val="-3"/>
        </w:rPr>
        <w:t> </w:t>
      </w:r>
      <w:r>
        <w:rPr/>
        <w:t>A tárgyalás a pozíciók</w:t>
      </w:r>
      <w:r>
        <w:rPr>
          <w:spacing w:val="-2"/>
        </w:rPr>
        <w:t> </w:t>
      </w:r>
      <w:r>
        <w:rPr/>
        <w:t>védelméről,</w:t>
      </w:r>
      <w:r>
        <w:rPr>
          <w:spacing w:val="-2"/>
        </w:rPr>
        <w:t> </w:t>
      </w:r>
      <w:r>
        <w:rPr/>
        <w:t>a</w:t>
      </w:r>
      <w:r>
        <w:rPr>
          <w:spacing w:val="-2"/>
        </w:rPr>
        <w:t> </w:t>
      </w:r>
      <w:r>
        <w:rPr/>
        <w:t>másik</w:t>
      </w:r>
      <w:r>
        <w:rPr>
          <w:spacing w:val="-2"/>
        </w:rPr>
        <w:t> </w:t>
      </w:r>
      <w:r>
        <w:rPr/>
        <w:t>meggyőzéséről, akár beszorításáról szól, amire taktikai arzenált nyújtanak a tárgyalástechnikai könyvek és kurzusok.</w:t>
      </w:r>
      <w:r>
        <w:rPr>
          <w:spacing w:val="40"/>
        </w:rPr>
        <w:t> </w:t>
      </w:r>
      <w:r>
        <w:rPr/>
        <w:t>A sokféle taktikai lehetőség, csel, csapda és hatalmi játék azonban csak a taktikai eszköztár elemei, amelyek mind a lényeget, a pozíció védelmét segítik. Ezért hívják a versengő tárgyalást más néven pozíció alapú tárgyalásnak.</w:t>
      </w:r>
      <w:r>
        <w:rPr>
          <w:spacing w:val="-15"/>
        </w:rPr>
        <w:t> </w:t>
      </w:r>
      <w:r>
        <w:rPr>
          <w:vertAlign w:val="superscript"/>
        </w:rPr>
        <w:t>11</w:t>
      </w:r>
      <w:r>
        <w:rPr>
          <w:vertAlign w:val="baseline"/>
        </w:rPr>
        <w:t> A tárgyalás a felosztásról szól, és benne felosztó stratégiák ütköznek.</w:t>
      </w:r>
    </w:p>
    <w:p>
      <w:pPr>
        <w:pStyle w:val="BodyText"/>
        <w:spacing w:line="360" w:lineRule="auto" w:before="201"/>
        <w:ind w:left="116" w:right="211"/>
        <w:jc w:val="both"/>
      </w:pPr>
      <w:r>
        <w:rPr/>
        <w:t>Ha a tárgyalás során mindkét fél ezt a versengő stratégiát alkalmazza, akkor mindketten arra vigyáznak, hogy csak annyi információt adjanak ki, ami még saját pozíciójukat védi. Így mozgástér gyakorlatilag csak ebben az egy dimenzióban, vagyis csak a pozíciók között van. A tárgyalás eredménye jó esetben az előnyök megcélzott részének megszerzése, de fennáll a kockázata annak is,</w:t>
      </w:r>
    </w:p>
    <w:p>
      <w:pPr>
        <w:pStyle w:val="BodyText"/>
        <w:spacing w:before="6"/>
        <w:rPr>
          <w:sz w:val="19"/>
        </w:rPr>
      </w:pPr>
      <w:r>
        <w:rPr/>
        <mc:AlternateContent>
          <mc:Choice Requires="wps">
            <w:drawing>
              <wp:anchor distT="0" distB="0" distL="0" distR="0" allowOverlap="1" layoutInCell="1" locked="0" behindDoc="1" simplePos="0" relativeHeight="487590400">
                <wp:simplePos x="0" y="0"/>
                <wp:positionH relativeFrom="page">
                  <wp:posOffset>899464</wp:posOffset>
                </wp:positionH>
                <wp:positionV relativeFrom="paragraph">
                  <wp:posOffset>166347</wp:posOffset>
                </wp:positionV>
                <wp:extent cx="1829435" cy="9525"/>
                <wp:effectExtent l="0" t="0" r="0" b="0"/>
                <wp:wrapTopAndBottom/>
                <wp:docPr id="7" name="Graphic 7"/>
                <wp:cNvGraphicFramePr>
                  <a:graphicFrameLocks/>
                </wp:cNvGraphicFramePr>
                <a:graphic>
                  <a:graphicData uri="http://schemas.microsoft.com/office/word/2010/wordprocessingShape">
                    <wps:wsp>
                      <wps:cNvPr id="7" name="Graphic 7"/>
                      <wps:cNvSpPr/>
                      <wps:spPr>
                        <a:xfrm>
                          <a:off x="0" y="0"/>
                          <a:ext cx="1829435" cy="9525"/>
                        </a:xfrm>
                        <a:custGeom>
                          <a:avLst/>
                          <a:gdLst/>
                          <a:ahLst/>
                          <a:cxnLst/>
                          <a:rect l="l" t="t" r="r" b="b"/>
                          <a:pathLst>
                            <a:path w="1829435" h="9525">
                              <a:moveTo>
                                <a:pt x="1829053" y="0"/>
                              </a:moveTo>
                              <a:lnTo>
                                <a:pt x="0" y="0"/>
                              </a:lnTo>
                              <a:lnTo>
                                <a:pt x="0" y="9143"/>
                              </a:lnTo>
                              <a:lnTo>
                                <a:pt x="1829053" y="9143"/>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823997pt;margin-top:13.098233pt;width:144.020pt;height:.71997pt;mso-position-horizontal-relative:page;mso-position-vertical-relative:paragraph;z-index:-15726080;mso-wrap-distance-left:0;mso-wrap-distance-right:0" id="docshape7" filled="true" fillcolor="#000000" stroked="false">
                <v:fill type="solid"/>
                <w10:wrap type="topAndBottom"/>
              </v:rect>
            </w:pict>
          </mc:Fallback>
        </mc:AlternateContent>
      </w:r>
    </w:p>
    <w:p>
      <w:pPr>
        <w:spacing w:before="102"/>
        <w:ind w:left="116" w:right="309" w:firstLine="0"/>
        <w:jc w:val="both"/>
        <w:rPr>
          <w:sz w:val="20"/>
        </w:rPr>
      </w:pPr>
      <w:r>
        <w:rPr>
          <w:sz w:val="20"/>
          <w:vertAlign w:val="superscript"/>
        </w:rPr>
        <w:t>10</w:t>
      </w:r>
      <w:r>
        <w:rPr>
          <w:spacing w:val="-2"/>
          <w:sz w:val="20"/>
          <w:vertAlign w:val="baseline"/>
        </w:rPr>
        <w:t> </w:t>
      </w:r>
      <w:r>
        <w:rPr>
          <w:sz w:val="20"/>
          <w:vertAlign w:val="baseline"/>
        </w:rPr>
        <w:t>A</w:t>
      </w:r>
      <w:r>
        <w:rPr>
          <w:spacing w:val="-2"/>
          <w:sz w:val="20"/>
          <w:vertAlign w:val="baseline"/>
        </w:rPr>
        <w:t> </w:t>
      </w:r>
      <w:r>
        <w:rPr>
          <w:sz w:val="20"/>
          <w:vertAlign w:val="baseline"/>
        </w:rPr>
        <w:t>Sass Judit –</w:t>
      </w:r>
      <w:r>
        <w:rPr>
          <w:spacing w:val="-2"/>
          <w:sz w:val="20"/>
          <w:vertAlign w:val="baseline"/>
        </w:rPr>
        <w:t> </w:t>
      </w:r>
      <w:r>
        <w:rPr>
          <w:sz w:val="20"/>
          <w:vertAlign w:val="baseline"/>
        </w:rPr>
        <w:t>Síklaki</w:t>
      </w:r>
      <w:r>
        <w:rPr>
          <w:spacing w:val="-2"/>
          <w:sz w:val="20"/>
          <w:vertAlign w:val="baseline"/>
        </w:rPr>
        <w:t> </w:t>
      </w:r>
      <w:r>
        <w:rPr>
          <w:sz w:val="20"/>
          <w:vertAlign w:val="baseline"/>
        </w:rPr>
        <w:t>István:</w:t>
      </w:r>
      <w:r>
        <w:rPr>
          <w:spacing w:val="-2"/>
          <w:sz w:val="20"/>
          <w:vertAlign w:val="baseline"/>
        </w:rPr>
        <w:t> </w:t>
      </w:r>
      <w:r>
        <w:rPr>
          <w:sz w:val="20"/>
          <w:vertAlign w:val="baseline"/>
        </w:rPr>
        <w:t>Társadalmi</w:t>
      </w:r>
      <w:r>
        <w:rPr>
          <w:spacing w:val="-2"/>
          <w:sz w:val="20"/>
          <w:vertAlign w:val="baseline"/>
        </w:rPr>
        <w:t> </w:t>
      </w:r>
      <w:r>
        <w:rPr>
          <w:sz w:val="20"/>
          <w:vertAlign w:val="baseline"/>
        </w:rPr>
        <w:t>konfliktusok</w:t>
      </w:r>
      <w:r>
        <w:rPr>
          <w:spacing w:val="-1"/>
          <w:sz w:val="20"/>
          <w:vertAlign w:val="baseline"/>
        </w:rPr>
        <w:t> </w:t>
      </w:r>
      <w:r>
        <w:rPr>
          <w:sz w:val="20"/>
          <w:vertAlign w:val="baseline"/>
        </w:rPr>
        <w:t>című</w:t>
      </w:r>
      <w:r>
        <w:rPr>
          <w:spacing w:val="-1"/>
          <w:sz w:val="20"/>
          <w:vertAlign w:val="baseline"/>
        </w:rPr>
        <w:t> </w:t>
      </w:r>
      <w:r>
        <w:rPr>
          <w:sz w:val="20"/>
          <w:vertAlign w:val="baseline"/>
        </w:rPr>
        <w:t>jegyzet</w:t>
      </w:r>
      <w:r>
        <w:rPr>
          <w:spacing w:val="-1"/>
          <w:sz w:val="20"/>
          <w:vertAlign w:val="baseline"/>
        </w:rPr>
        <w:t> </w:t>
      </w:r>
      <w:r>
        <w:rPr>
          <w:sz w:val="20"/>
          <w:vertAlign w:val="baseline"/>
        </w:rPr>
        <w:t>a</w:t>
      </w:r>
      <w:r>
        <w:rPr>
          <w:spacing w:val="-1"/>
          <w:sz w:val="20"/>
          <w:vertAlign w:val="baseline"/>
        </w:rPr>
        <w:t> </w:t>
      </w:r>
      <w:r>
        <w:rPr>
          <w:sz w:val="20"/>
          <w:vertAlign w:val="baseline"/>
        </w:rPr>
        <w:t>versengő</w:t>
      </w:r>
      <w:r>
        <w:rPr>
          <w:spacing w:val="-1"/>
          <w:sz w:val="20"/>
          <w:vertAlign w:val="baseline"/>
        </w:rPr>
        <w:t> </w:t>
      </w:r>
      <w:r>
        <w:rPr>
          <w:sz w:val="20"/>
          <w:vertAlign w:val="baseline"/>
        </w:rPr>
        <w:t>stratégiára</w:t>
      </w:r>
      <w:r>
        <w:rPr>
          <w:spacing w:val="-1"/>
          <w:sz w:val="20"/>
          <w:vertAlign w:val="baseline"/>
        </w:rPr>
        <w:t> </w:t>
      </w:r>
      <w:r>
        <w:rPr>
          <w:sz w:val="20"/>
          <w:vertAlign w:val="baseline"/>
        </w:rPr>
        <w:t>az</w:t>
      </w:r>
      <w:r>
        <w:rPr>
          <w:spacing w:val="-1"/>
          <w:sz w:val="20"/>
          <w:vertAlign w:val="baseline"/>
        </w:rPr>
        <w:t> </w:t>
      </w:r>
      <w:r>
        <w:rPr>
          <w:sz w:val="20"/>
          <w:vertAlign w:val="baseline"/>
        </w:rPr>
        <w:t>ökumenikus</w:t>
      </w:r>
      <w:r>
        <w:rPr>
          <w:spacing w:val="-3"/>
          <w:sz w:val="20"/>
          <w:vertAlign w:val="baseline"/>
        </w:rPr>
        <w:t> </w:t>
      </w:r>
      <w:r>
        <w:rPr>
          <w:sz w:val="20"/>
          <w:vertAlign w:val="baseline"/>
        </w:rPr>
        <w:t>vagy stratégiai</w:t>
      </w:r>
      <w:r>
        <w:rPr>
          <w:spacing w:val="-3"/>
          <w:sz w:val="20"/>
          <w:vertAlign w:val="baseline"/>
        </w:rPr>
        <w:t> </w:t>
      </w:r>
      <w:r>
        <w:rPr>
          <w:sz w:val="20"/>
          <w:vertAlign w:val="baseline"/>
        </w:rPr>
        <w:t>tárgyalás</w:t>
      </w:r>
      <w:r>
        <w:rPr>
          <w:spacing w:val="-5"/>
          <w:sz w:val="20"/>
          <w:vertAlign w:val="baseline"/>
        </w:rPr>
        <w:t> </w:t>
      </w:r>
      <w:r>
        <w:rPr>
          <w:sz w:val="20"/>
          <w:vertAlign w:val="baseline"/>
        </w:rPr>
        <w:t>kifejezést</w:t>
      </w:r>
      <w:r>
        <w:rPr>
          <w:spacing w:val="-3"/>
          <w:sz w:val="20"/>
          <w:vertAlign w:val="baseline"/>
        </w:rPr>
        <w:t> </w:t>
      </w:r>
      <w:r>
        <w:rPr>
          <w:sz w:val="20"/>
          <w:vertAlign w:val="baseline"/>
        </w:rPr>
        <w:t>használja.</w:t>
      </w:r>
      <w:r>
        <w:rPr>
          <w:spacing w:val="-3"/>
          <w:sz w:val="20"/>
          <w:vertAlign w:val="baseline"/>
        </w:rPr>
        <w:t> </w:t>
      </w:r>
      <w:r>
        <w:rPr>
          <w:sz w:val="20"/>
          <w:vertAlign w:val="baseline"/>
        </w:rPr>
        <w:t>Én</w:t>
      </w:r>
      <w:r>
        <w:rPr>
          <w:spacing w:val="-3"/>
          <w:sz w:val="20"/>
          <w:vertAlign w:val="baseline"/>
        </w:rPr>
        <w:t> </w:t>
      </w:r>
      <w:r>
        <w:rPr>
          <w:sz w:val="20"/>
          <w:vertAlign w:val="baseline"/>
        </w:rPr>
        <w:t>azért</w:t>
      </w:r>
      <w:r>
        <w:rPr>
          <w:spacing w:val="-3"/>
          <w:sz w:val="20"/>
          <w:vertAlign w:val="baseline"/>
        </w:rPr>
        <w:t> </w:t>
      </w:r>
      <w:r>
        <w:rPr>
          <w:sz w:val="20"/>
          <w:vertAlign w:val="baseline"/>
        </w:rPr>
        <w:t>maradok</w:t>
      </w:r>
      <w:r>
        <w:rPr>
          <w:spacing w:val="-3"/>
          <w:sz w:val="20"/>
          <w:vertAlign w:val="baseline"/>
        </w:rPr>
        <w:t> </w:t>
      </w:r>
      <w:r>
        <w:rPr>
          <w:sz w:val="20"/>
          <w:vertAlign w:val="baseline"/>
        </w:rPr>
        <w:t>a</w:t>
      </w:r>
      <w:r>
        <w:rPr>
          <w:spacing w:val="-5"/>
          <w:sz w:val="20"/>
          <w:vertAlign w:val="baseline"/>
        </w:rPr>
        <w:t> </w:t>
      </w:r>
      <w:r>
        <w:rPr>
          <w:sz w:val="20"/>
          <w:vertAlign w:val="baseline"/>
        </w:rPr>
        <w:t>versengő</w:t>
      </w:r>
      <w:r>
        <w:rPr>
          <w:spacing w:val="-1"/>
          <w:sz w:val="20"/>
          <w:vertAlign w:val="baseline"/>
        </w:rPr>
        <w:t> </w:t>
      </w:r>
      <w:r>
        <w:rPr>
          <w:sz w:val="20"/>
          <w:vertAlign w:val="baseline"/>
        </w:rPr>
        <w:t>kifejezésnél,</w:t>
      </w:r>
      <w:r>
        <w:rPr>
          <w:spacing w:val="-3"/>
          <w:sz w:val="20"/>
          <w:vertAlign w:val="baseline"/>
        </w:rPr>
        <w:t> </w:t>
      </w:r>
      <w:r>
        <w:rPr>
          <w:sz w:val="20"/>
          <w:vertAlign w:val="baseline"/>
        </w:rPr>
        <w:t>mert</w:t>
      </w:r>
      <w:r>
        <w:rPr>
          <w:spacing w:val="-3"/>
          <w:sz w:val="20"/>
          <w:vertAlign w:val="baseline"/>
        </w:rPr>
        <w:t> </w:t>
      </w:r>
      <w:r>
        <w:rPr>
          <w:sz w:val="20"/>
          <w:vertAlign w:val="baseline"/>
        </w:rPr>
        <w:t>az</w:t>
      </w:r>
      <w:r>
        <w:rPr>
          <w:spacing w:val="-3"/>
          <w:sz w:val="20"/>
          <w:vertAlign w:val="baseline"/>
        </w:rPr>
        <w:t> </w:t>
      </w:r>
      <w:r>
        <w:rPr>
          <w:sz w:val="20"/>
          <w:vertAlign w:val="baseline"/>
        </w:rPr>
        <w:t>ezt</w:t>
      </w:r>
      <w:r>
        <w:rPr>
          <w:spacing w:val="-3"/>
          <w:sz w:val="20"/>
          <w:vertAlign w:val="baseline"/>
        </w:rPr>
        <w:t> </w:t>
      </w:r>
      <w:r>
        <w:rPr>
          <w:sz w:val="20"/>
          <w:vertAlign w:val="baseline"/>
        </w:rPr>
        <w:t>tárgyaló</w:t>
      </w:r>
      <w:r>
        <w:rPr>
          <w:spacing w:val="-3"/>
          <w:sz w:val="20"/>
          <w:vertAlign w:val="baseline"/>
        </w:rPr>
        <w:t> </w:t>
      </w:r>
      <w:r>
        <w:rPr>
          <w:sz w:val="20"/>
          <w:vertAlign w:val="baseline"/>
        </w:rPr>
        <w:t>ajánlott magyar irodalom is így használja.</w:t>
      </w:r>
    </w:p>
    <w:p>
      <w:pPr>
        <w:spacing w:before="0"/>
        <w:ind w:left="116" w:right="0" w:firstLine="0"/>
        <w:jc w:val="left"/>
        <w:rPr>
          <w:sz w:val="20"/>
        </w:rPr>
      </w:pPr>
      <w:r>
        <w:rPr>
          <w:sz w:val="20"/>
          <w:vertAlign w:val="superscript"/>
        </w:rPr>
        <w:t>11</w:t>
      </w:r>
      <w:r>
        <w:rPr>
          <w:spacing w:val="40"/>
          <w:sz w:val="20"/>
          <w:vertAlign w:val="baseline"/>
        </w:rPr>
        <w:t> </w:t>
      </w:r>
      <w:r>
        <w:rPr>
          <w:sz w:val="20"/>
          <w:vertAlign w:val="baseline"/>
        </w:rPr>
        <w:t>Ez egyfajta tárgyalási stratégia, de hogy üzleti helyzetben mennyire elterjedt, azt talán az is mutatja, hogy például a linken hirdetett tárgyalástechnika mini MBA programjában kizárólag ez szerepel. </w:t>
      </w:r>
      <w:hyperlink r:id="rId6">
        <w:r>
          <w:rPr>
            <w:color w:val="0000FF"/>
            <w:spacing w:val="-2"/>
            <w:sz w:val="20"/>
            <w:u w:val="single" w:color="0000FF"/>
            <w:vertAlign w:val="baseline"/>
          </w:rPr>
          <w:t>http://www.mediacomm.hu/targyalastechnika_minimba/?utm_source=etarget&amp;utm_medium=cpc&amp;utm_cam</w:t>
        </w:r>
      </w:hyperlink>
      <w:r>
        <w:rPr>
          <w:color w:val="0000FF"/>
          <w:spacing w:val="-2"/>
          <w:sz w:val="20"/>
          <w:u w:val="none"/>
          <w:vertAlign w:val="baseline"/>
        </w:rPr>
        <w:t> </w:t>
      </w:r>
      <w:hyperlink r:id="rId6">
        <w:r>
          <w:rPr>
            <w:color w:val="0000FF"/>
            <w:spacing w:val="-2"/>
            <w:sz w:val="20"/>
            <w:u w:val="single" w:color="0000FF"/>
            <w:vertAlign w:val="baseline"/>
          </w:rPr>
          <w:t>paign=etarget</w:t>
        </w:r>
      </w:hyperlink>
    </w:p>
    <w:p>
      <w:pPr>
        <w:spacing w:after="0"/>
        <w:jc w:val="left"/>
        <w:rPr>
          <w:sz w:val="20"/>
        </w:rPr>
        <w:sectPr>
          <w:pgSz w:w="11910" w:h="16840"/>
          <w:pgMar w:header="0" w:footer="1002" w:top="1360" w:bottom="1200" w:left="1300" w:right="1200"/>
        </w:sectPr>
      </w:pPr>
    </w:p>
    <w:p>
      <w:pPr>
        <w:pStyle w:val="BodyText"/>
        <w:spacing w:line="360" w:lineRule="auto" w:before="34"/>
        <w:ind w:left="116" w:right="211"/>
        <w:jc w:val="both"/>
      </w:pPr>
      <w:r>
        <w:rPr/>
        <w:t>hogy a pozíciók bemerevednek, és patthelyzet alakul ki. A harcos, kemény tárgyaló – aki céljai elérését helyezi előtérbe - általában többet szerezhet, mint az, akinek a békés megegyezés és a kapcsolat megőrzése fontos (ún. puha stratégia). Kemény és puha tárgyaló között vesztesnyertes játszma a várható eredmény. Amikor azonban két kemény tárgyaló kerül szembe, könnyen előfordulhat patt helyzet is, ami persze vesztes-vesztes végkifejletet jelent.</w:t>
      </w:r>
    </w:p>
    <w:p>
      <w:pPr>
        <w:pStyle w:val="BodyText"/>
      </w:pPr>
    </w:p>
    <w:p>
      <w:pPr>
        <w:pStyle w:val="BodyText"/>
      </w:pPr>
    </w:p>
    <w:p>
      <w:pPr>
        <w:pStyle w:val="BodyText"/>
        <w:spacing w:before="1"/>
      </w:pPr>
    </w:p>
    <w:p>
      <w:pPr>
        <w:pStyle w:val="Heading3"/>
        <w:ind w:left="2637" w:firstLine="0"/>
      </w:pPr>
      <w:r>
        <w:rPr/>
        <mc:AlternateContent>
          <mc:Choice Requires="wps">
            <w:drawing>
              <wp:anchor distT="0" distB="0" distL="0" distR="0" allowOverlap="1" layoutInCell="1" locked="0" behindDoc="0" simplePos="0" relativeHeight="15731712">
                <wp:simplePos x="0" y="0"/>
                <wp:positionH relativeFrom="page">
                  <wp:posOffset>818692</wp:posOffset>
                </wp:positionH>
                <wp:positionV relativeFrom="paragraph">
                  <wp:posOffset>383016</wp:posOffset>
                </wp:positionV>
                <wp:extent cx="6025515" cy="1721485"/>
                <wp:effectExtent l="0" t="0" r="0" b="0"/>
                <wp:wrapNone/>
                <wp:docPr id="8" name="Group 8"/>
                <wp:cNvGraphicFramePr>
                  <a:graphicFrameLocks/>
                </wp:cNvGraphicFramePr>
                <a:graphic>
                  <a:graphicData uri="http://schemas.microsoft.com/office/word/2010/wordprocessingGroup">
                    <wpg:wgp>
                      <wpg:cNvPr id="8" name="Group 8"/>
                      <wpg:cNvGrpSpPr/>
                      <wpg:grpSpPr>
                        <a:xfrm>
                          <a:off x="0" y="0"/>
                          <a:ext cx="6025515" cy="1721485"/>
                          <a:chExt cx="6025515" cy="1721485"/>
                        </a:xfrm>
                      </wpg:grpSpPr>
                      <wps:wsp>
                        <wps:cNvPr id="9" name="Graphic 9"/>
                        <wps:cNvSpPr/>
                        <wps:spPr>
                          <a:xfrm>
                            <a:off x="0" y="12"/>
                            <a:ext cx="6025515" cy="1721485"/>
                          </a:xfrm>
                          <a:custGeom>
                            <a:avLst/>
                            <a:gdLst/>
                            <a:ahLst/>
                            <a:cxnLst/>
                            <a:rect l="l" t="t" r="r" b="b"/>
                            <a:pathLst>
                              <a:path w="6025515" h="1721485">
                                <a:moveTo>
                                  <a:pt x="12192" y="12306"/>
                                </a:moveTo>
                                <a:lnTo>
                                  <a:pt x="0" y="12306"/>
                                </a:lnTo>
                                <a:lnTo>
                                  <a:pt x="0" y="1708772"/>
                                </a:lnTo>
                                <a:lnTo>
                                  <a:pt x="12192" y="1708772"/>
                                </a:lnTo>
                                <a:lnTo>
                                  <a:pt x="12192" y="12306"/>
                                </a:lnTo>
                                <a:close/>
                              </a:path>
                              <a:path w="6025515" h="1721485">
                                <a:moveTo>
                                  <a:pt x="6013069" y="1708785"/>
                                </a:moveTo>
                                <a:lnTo>
                                  <a:pt x="12192" y="1708785"/>
                                </a:lnTo>
                                <a:lnTo>
                                  <a:pt x="0" y="1708785"/>
                                </a:lnTo>
                                <a:lnTo>
                                  <a:pt x="0" y="1720964"/>
                                </a:lnTo>
                                <a:lnTo>
                                  <a:pt x="12192" y="1720964"/>
                                </a:lnTo>
                                <a:lnTo>
                                  <a:pt x="6013069" y="1720964"/>
                                </a:lnTo>
                                <a:lnTo>
                                  <a:pt x="6013069" y="1708785"/>
                                </a:lnTo>
                                <a:close/>
                              </a:path>
                              <a:path w="6025515" h="1721485">
                                <a:moveTo>
                                  <a:pt x="6013069" y="0"/>
                                </a:moveTo>
                                <a:lnTo>
                                  <a:pt x="12192" y="0"/>
                                </a:lnTo>
                                <a:lnTo>
                                  <a:pt x="0" y="0"/>
                                </a:lnTo>
                                <a:lnTo>
                                  <a:pt x="0" y="12179"/>
                                </a:lnTo>
                                <a:lnTo>
                                  <a:pt x="12192" y="12179"/>
                                </a:lnTo>
                                <a:lnTo>
                                  <a:pt x="6013069" y="12179"/>
                                </a:lnTo>
                                <a:lnTo>
                                  <a:pt x="6013069" y="0"/>
                                </a:lnTo>
                                <a:close/>
                              </a:path>
                              <a:path w="6025515" h="1721485">
                                <a:moveTo>
                                  <a:pt x="6025324" y="1708785"/>
                                </a:moveTo>
                                <a:lnTo>
                                  <a:pt x="6013145" y="1708785"/>
                                </a:lnTo>
                                <a:lnTo>
                                  <a:pt x="6013145" y="1720964"/>
                                </a:lnTo>
                                <a:lnTo>
                                  <a:pt x="6025324" y="1720964"/>
                                </a:lnTo>
                                <a:lnTo>
                                  <a:pt x="6025324" y="1708785"/>
                                </a:lnTo>
                                <a:close/>
                              </a:path>
                              <a:path w="6025515" h="1721485">
                                <a:moveTo>
                                  <a:pt x="6025324" y="12306"/>
                                </a:moveTo>
                                <a:lnTo>
                                  <a:pt x="6013145" y="12306"/>
                                </a:lnTo>
                                <a:lnTo>
                                  <a:pt x="6013145" y="1708772"/>
                                </a:lnTo>
                                <a:lnTo>
                                  <a:pt x="6025324" y="1708772"/>
                                </a:lnTo>
                                <a:lnTo>
                                  <a:pt x="6025324" y="12306"/>
                                </a:lnTo>
                                <a:close/>
                              </a:path>
                              <a:path w="6025515" h="1721485">
                                <a:moveTo>
                                  <a:pt x="6025324" y="0"/>
                                </a:moveTo>
                                <a:lnTo>
                                  <a:pt x="6013145" y="0"/>
                                </a:lnTo>
                                <a:lnTo>
                                  <a:pt x="6013145" y="12179"/>
                                </a:lnTo>
                                <a:lnTo>
                                  <a:pt x="6025324" y="12179"/>
                                </a:lnTo>
                                <a:lnTo>
                                  <a:pt x="6025324" y="0"/>
                                </a:lnTo>
                                <a:close/>
                              </a:path>
                            </a:pathLst>
                          </a:custGeom>
                          <a:solidFill>
                            <a:srgbClr val="000000"/>
                          </a:solidFill>
                        </wps:spPr>
                        <wps:bodyPr wrap="square" lIns="0" tIns="0" rIns="0" bIns="0" rtlCol="0">
                          <a:prstTxWarp prst="textNoShape">
                            <a:avLst/>
                          </a:prstTxWarp>
                          <a:noAutofit/>
                        </wps:bodyPr>
                      </wps:wsp>
                      <pic:pic>
                        <pic:nvPicPr>
                          <pic:cNvPr id="10" name="Image 10"/>
                          <pic:cNvPicPr/>
                        </pic:nvPicPr>
                        <pic:blipFill>
                          <a:blip r:embed="rId7" cstate="print"/>
                          <a:stretch>
                            <a:fillRect/>
                          </a:stretch>
                        </pic:blipFill>
                        <pic:spPr>
                          <a:xfrm>
                            <a:off x="1002045" y="35940"/>
                            <a:ext cx="3958941" cy="1346200"/>
                          </a:xfrm>
                          <a:prstGeom prst="rect">
                            <a:avLst/>
                          </a:prstGeom>
                        </pic:spPr>
                      </pic:pic>
                      <wps:wsp>
                        <wps:cNvPr id="11" name="Textbox 11"/>
                        <wps:cNvSpPr txBox="1"/>
                        <wps:spPr>
                          <a:xfrm>
                            <a:off x="176784" y="1112369"/>
                            <a:ext cx="786130" cy="451484"/>
                          </a:xfrm>
                          <a:prstGeom prst="rect">
                            <a:avLst/>
                          </a:prstGeom>
                        </wps:spPr>
                        <wps:txbx>
                          <w:txbxContent>
                            <w:p>
                              <w:pPr>
                                <w:spacing w:line="281" w:lineRule="exact" w:before="0"/>
                                <w:ind w:left="0" w:right="0" w:firstLine="0"/>
                                <w:jc w:val="left"/>
                                <w:rPr>
                                  <w:rFonts w:ascii="Arial Black"/>
                                  <w:sz w:val="20"/>
                                </w:rPr>
                              </w:pPr>
                              <w:r>
                                <w:rPr>
                                  <w:rFonts w:ascii="Arial Black"/>
                                  <w:sz w:val="20"/>
                                </w:rPr>
                                <w:t>AZ</w:t>
                              </w:r>
                              <w:r>
                                <w:rPr>
                                  <w:rFonts w:ascii="Arial Black"/>
                                  <w:spacing w:val="-3"/>
                                  <w:sz w:val="20"/>
                                </w:rPr>
                                <w:t> </w:t>
                              </w:r>
                              <w:r>
                                <w:rPr>
                                  <w:rFonts w:ascii="Arial Black"/>
                                  <w:spacing w:val="-2"/>
                                  <w:sz w:val="20"/>
                                </w:rPr>
                                <w:t>EGYIK</w:t>
                              </w:r>
                            </w:p>
                            <w:p>
                              <w:pPr>
                                <w:spacing w:line="282" w:lineRule="exact" w:before="147"/>
                                <w:ind w:left="0" w:right="0" w:firstLine="0"/>
                                <w:jc w:val="left"/>
                                <w:rPr>
                                  <w:rFonts w:ascii="Arial Black" w:hAnsi="Arial Black"/>
                                  <w:sz w:val="20"/>
                                </w:rPr>
                              </w:pPr>
                              <w:r>
                                <w:rPr>
                                  <w:rFonts w:ascii="Arial Black" w:hAnsi="Arial Black"/>
                                  <w:spacing w:val="-2"/>
                                  <w:sz w:val="20"/>
                                </w:rPr>
                                <w:t>POZÍCIÓJA</w:t>
                              </w:r>
                            </w:p>
                          </w:txbxContent>
                        </wps:txbx>
                        <wps:bodyPr wrap="square" lIns="0" tIns="0" rIns="0" bIns="0" rtlCol="0">
                          <a:noAutofit/>
                        </wps:bodyPr>
                      </wps:wsp>
                      <wps:wsp>
                        <wps:cNvPr id="12" name="Textbox 12"/>
                        <wps:cNvSpPr txBox="1"/>
                        <wps:spPr>
                          <a:xfrm>
                            <a:off x="4845761" y="1040741"/>
                            <a:ext cx="787400" cy="452755"/>
                          </a:xfrm>
                          <a:prstGeom prst="rect">
                            <a:avLst/>
                          </a:prstGeom>
                        </wps:spPr>
                        <wps:txbx>
                          <w:txbxContent>
                            <w:p>
                              <w:pPr>
                                <w:spacing w:line="281" w:lineRule="exact" w:before="0"/>
                                <w:ind w:left="0" w:right="18" w:firstLine="0"/>
                                <w:jc w:val="right"/>
                                <w:rPr>
                                  <w:rFonts w:ascii="Arial Black" w:hAnsi="Arial Black"/>
                                  <w:sz w:val="20"/>
                                </w:rPr>
                              </w:pPr>
                              <w:r>
                                <w:rPr>
                                  <w:rFonts w:ascii="Arial Black" w:hAnsi="Arial Black"/>
                                  <w:sz w:val="20"/>
                                </w:rPr>
                                <w:t>A</w:t>
                              </w:r>
                              <w:r>
                                <w:rPr>
                                  <w:rFonts w:ascii="Arial Black" w:hAnsi="Arial Black"/>
                                  <w:spacing w:val="-1"/>
                                  <w:sz w:val="20"/>
                                </w:rPr>
                                <w:t> </w:t>
                              </w:r>
                              <w:r>
                                <w:rPr>
                                  <w:rFonts w:ascii="Arial Black" w:hAnsi="Arial Black"/>
                                  <w:spacing w:val="-2"/>
                                  <w:sz w:val="20"/>
                                </w:rPr>
                                <w:t>MÁSIK</w:t>
                              </w:r>
                            </w:p>
                            <w:p>
                              <w:pPr>
                                <w:spacing w:line="282" w:lineRule="exact" w:before="150"/>
                                <w:ind w:left="0" w:right="20" w:firstLine="0"/>
                                <w:jc w:val="right"/>
                                <w:rPr>
                                  <w:rFonts w:ascii="Arial Black" w:hAnsi="Arial Black"/>
                                  <w:sz w:val="20"/>
                                </w:rPr>
                              </w:pPr>
                              <w:r>
                                <w:rPr>
                                  <w:rFonts w:ascii="Arial Black" w:hAnsi="Arial Black"/>
                                  <w:spacing w:val="-2"/>
                                  <w:sz w:val="20"/>
                                </w:rPr>
                                <w:t>POZÍCIÓJA</w:t>
                              </w:r>
                            </w:p>
                          </w:txbxContent>
                        </wps:txbx>
                        <wps:bodyPr wrap="square" lIns="0" tIns="0" rIns="0" bIns="0" rtlCol="0">
                          <a:noAutofit/>
                        </wps:bodyPr>
                      </wps:wsp>
                    </wpg:wgp>
                  </a:graphicData>
                </a:graphic>
              </wp:anchor>
            </w:drawing>
          </mc:Choice>
          <mc:Fallback>
            <w:pict>
              <v:group style="position:absolute;margin-left:64.463997pt;margin-top:30.158798pt;width:474.45pt;height:135.550pt;mso-position-horizontal-relative:page;mso-position-vertical-relative:paragraph;z-index:15731712" id="docshapegroup8" coordorigin="1289,603" coordsize="9489,2711">
                <v:shape style="position:absolute;left:1289;top:603;width:9489;height:2711" id="docshape9" coordorigin="1289,603" coordsize="9489,2711" path="m1308,623l1289,623,1289,3294,1308,3294,1308,623xm10759,3294l1308,3294,1289,3294,1289,3313,1308,3313,10759,3313,10759,3294xm10759,603l1308,603,1289,603,1289,622,1308,622,10759,622,10759,603xm10778,3294l10759,3294,10759,3313,10778,3313,10778,3294xm10778,623l10759,623,10759,3294,10778,3294,10778,623xm10778,603l10759,603,10759,622,10778,622,10778,603xe" filled="true" fillcolor="#000000" stroked="false">
                  <v:path arrowok="t"/>
                  <v:fill type="solid"/>
                </v:shape>
                <v:shape style="position:absolute;left:2867;top:659;width:6235;height:2120" type="#_x0000_t75" id="docshape10" stroked="false">
                  <v:imagedata r:id="rId7" o:title=""/>
                </v:shape>
                <v:shape style="position:absolute;left:1567;top:2354;width:1238;height:711" type="#_x0000_t202" id="docshape11" filled="false" stroked="false">
                  <v:textbox inset="0,0,0,0">
                    <w:txbxContent>
                      <w:p>
                        <w:pPr>
                          <w:spacing w:line="281" w:lineRule="exact" w:before="0"/>
                          <w:ind w:left="0" w:right="0" w:firstLine="0"/>
                          <w:jc w:val="left"/>
                          <w:rPr>
                            <w:rFonts w:ascii="Arial Black"/>
                            <w:sz w:val="20"/>
                          </w:rPr>
                        </w:pPr>
                        <w:r>
                          <w:rPr>
                            <w:rFonts w:ascii="Arial Black"/>
                            <w:sz w:val="20"/>
                          </w:rPr>
                          <w:t>AZ</w:t>
                        </w:r>
                        <w:r>
                          <w:rPr>
                            <w:rFonts w:ascii="Arial Black"/>
                            <w:spacing w:val="-3"/>
                            <w:sz w:val="20"/>
                          </w:rPr>
                          <w:t> </w:t>
                        </w:r>
                        <w:r>
                          <w:rPr>
                            <w:rFonts w:ascii="Arial Black"/>
                            <w:spacing w:val="-2"/>
                            <w:sz w:val="20"/>
                          </w:rPr>
                          <w:t>EGYIK</w:t>
                        </w:r>
                      </w:p>
                      <w:p>
                        <w:pPr>
                          <w:spacing w:line="282" w:lineRule="exact" w:before="147"/>
                          <w:ind w:left="0" w:right="0" w:firstLine="0"/>
                          <w:jc w:val="left"/>
                          <w:rPr>
                            <w:rFonts w:ascii="Arial Black" w:hAnsi="Arial Black"/>
                            <w:sz w:val="20"/>
                          </w:rPr>
                        </w:pPr>
                        <w:r>
                          <w:rPr>
                            <w:rFonts w:ascii="Arial Black" w:hAnsi="Arial Black"/>
                            <w:spacing w:val="-2"/>
                            <w:sz w:val="20"/>
                          </w:rPr>
                          <w:t>POZÍCIÓJA</w:t>
                        </w:r>
                      </w:p>
                    </w:txbxContent>
                  </v:textbox>
                  <w10:wrap type="none"/>
                </v:shape>
                <v:shape style="position:absolute;left:8920;top:2242;width:1240;height:713" type="#_x0000_t202" id="docshape12" filled="false" stroked="false">
                  <v:textbox inset="0,0,0,0">
                    <w:txbxContent>
                      <w:p>
                        <w:pPr>
                          <w:spacing w:line="281" w:lineRule="exact" w:before="0"/>
                          <w:ind w:left="0" w:right="18" w:firstLine="0"/>
                          <w:jc w:val="right"/>
                          <w:rPr>
                            <w:rFonts w:ascii="Arial Black" w:hAnsi="Arial Black"/>
                            <w:sz w:val="20"/>
                          </w:rPr>
                        </w:pPr>
                        <w:r>
                          <w:rPr>
                            <w:rFonts w:ascii="Arial Black" w:hAnsi="Arial Black"/>
                            <w:sz w:val="20"/>
                          </w:rPr>
                          <w:t>A</w:t>
                        </w:r>
                        <w:r>
                          <w:rPr>
                            <w:rFonts w:ascii="Arial Black" w:hAnsi="Arial Black"/>
                            <w:spacing w:val="-1"/>
                            <w:sz w:val="20"/>
                          </w:rPr>
                          <w:t> </w:t>
                        </w:r>
                        <w:r>
                          <w:rPr>
                            <w:rFonts w:ascii="Arial Black" w:hAnsi="Arial Black"/>
                            <w:spacing w:val="-2"/>
                            <w:sz w:val="20"/>
                          </w:rPr>
                          <w:t>MÁSIK</w:t>
                        </w:r>
                      </w:p>
                      <w:p>
                        <w:pPr>
                          <w:spacing w:line="282" w:lineRule="exact" w:before="150"/>
                          <w:ind w:left="0" w:right="20" w:firstLine="0"/>
                          <w:jc w:val="right"/>
                          <w:rPr>
                            <w:rFonts w:ascii="Arial Black" w:hAnsi="Arial Black"/>
                            <w:sz w:val="20"/>
                          </w:rPr>
                        </w:pPr>
                        <w:r>
                          <w:rPr>
                            <w:rFonts w:ascii="Arial Black" w:hAnsi="Arial Black"/>
                            <w:spacing w:val="-2"/>
                            <w:sz w:val="20"/>
                          </w:rPr>
                          <w:t>POZÍCIÓJA</w:t>
                        </w:r>
                      </w:p>
                    </w:txbxContent>
                  </v:textbox>
                  <w10:wrap type="none"/>
                </v:shape>
                <w10:wrap type="none"/>
              </v:group>
            </w:pict>
          </mc:Fallback>
        </mc:AlternateContent>
      </w:r>
      <w:r>
        <w:rPr/>
        <w:t>1.</w:t>
      </w:r>
      <w:r>
        <w:rPr>
          <w:spacing w:val="41"/>
        </w:rPr>
        <w:t>  </w:t>
      </w:r>
      <w:r>
        <w:rPr/>
        <w:t>ábra:</w:t>
      </w:r>
      <w:r>
        <w:rPr>
          <w:spacing w:val="-2"/>
        </w:rPr>
        <w:t> </w:t>
      </w:r>
      <w:r>
        <w:rPr/>
        <w:t>A versengő</w:t>
      </w:r>
      <w:r>
        <w:rPr>
          <w:spacing w:val="-2"/>
        </w:rPr>
        <w:t> tárgyalás</w:t>
      </w: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83"/>
        <w:rPr>
          <w:b/>
        </w:rPr>
      </w:pPr>
    </w:p>
    <w:p>
      <w:pPr>
        <w:pStyle w:val="BodyText"/>
        <w:spacing w:line="360" w:lineRule="auto" w:before="1"/>
        <w:ind w:left="116" w:right="211"/>
        <w:jc w:val="both"/>
      </w:pPr>
      <w:r>
        <w:rPr/>
        <w:t>Olyan elosztási vitáknál, ahol tényleg csak egy dimenzióban lehet tárgyalni, akár értelme is lehet ennek a versengő stratégiának. (Ilyen például az alkudozás a a bolhapiacon. ) A versengő megközelítésben van azonban egy csapda helyzet is: ha versengő alapállásba helyezkedünk nehezen látjuk meg azokat az elemeket, amelyek alapján az egyszerű felosztásnál akár jóval kedvezőbb megoldást is találhatnánk az adott helyzetre.</w:t>
      </w:r>
    </w:p>
    <w:p>
      <w:pPr>
        <w:pStyle w:val="BodyText"/>
      </w:pPr>
    </w:p>
    <w:p>
      <w:pPr>
        <w:pStyle w:val="BodyText"/>
      </w:pPr>
    </w:p>
    <w:p>
      <w:pPr>
        <w:pStyle w:val="BodyText"/>
      </w:pPr>
    </w:p>
    <w:p>
      <w:pPr>
        <w:pStyle w:val="Heading3"/>
        <w:numPr>
          <w:ilvl w:val="2"/>
          <w:numId w:val="1"/>
        </w:numPr>
        <w:tabs>
          <w:tab w:pos="703" w:val="left" w:leader="none"/>
        </w:tabs>
        <w:spacing w:line="240" w:lineRule="auto" w:before="0" w:after="0"/>
        <w:ind w:left="703" w:right="0" w:hanging="587"/>
        <w:jc w:val="left"/>
        <w:rPr>
          <w:rFonts w:ascii="Cambria" w:hAnsi="Cambria"/>
        </w:rPr>
      </w:pPr>
      <w:r>
        <w:rPr>
          <w:rFonts w:ascii="Cambria" w:hAnsi="Cambria"/>
          <w:color w:val="4F81BC"/>
          <w:spacing w:val="-2"/>
        </w:rPr>
        <w:t>Együttműködő</w:t>
      </w:r>
      <w:r>
        <w:rPr>
          <w:rFonts w:ascii="Cambria" w:hAnsi="Cambria"/>
          <w:color w:val="4F81BC"/>
          <w:spacing w:val="11"/>
        </w:rPr>
        <w:t> </w:t>
      </w:r>
      <w:r>
        <w:rPr>
          <w:rFonts w:ascii="Cambria" w:hAnsi="Cambria"/>
          <w:color w:val="4F81BC"/>
          <w:spacing w:val="-2"/>
        </w:rPr>
        <w:t>tárgyalás</w:t>
      </w:r>
    </w:p>
    <w:p>
      <w:pPr>
        <w:pStyle w:val="BodyText"/>
        <w:rPr>
          <w:rFonts w:ascii="Cambria"/>
          <w:b/>
        </w:rPr>
      </w:pPr>
    </w:p>
    <w:p>
      <w:pPr>
        <w:pStyle w:val="BodyText"/>
        <w:spacing w:before="213"/>
        <w:rPr>
          <w:rFonts w:ascii="Cambria"/>
          <w:b/>
        </w:rPr>
      </w:pPr>
    </w:p>
    <w:p>
      <w:pPr>
        <w:pStyle w:val="BodyText"/>
        <w:spacing w:line="360" w:lineRule="auto"/>
        <w:ind w:left="116" w:right="212"/>
        <w:jc w:val="both"/>
      </w:pPr>
      <w:r>
        <w:rPr/>
        <w:t>A versengő és az együttműködő tárgyalás közötti lényeges különbség az, hogy az együttműködő megközelítésben, még mielőtt a javak elosztásáról tárgyalnának a felek, megpróbálják egymás nézeteit és érdekeit feltárni és megérteni, azért, hogy olyan megoldást találjanak, ami mindkettőjük érdekeinek a legjobban megfelel. Azért nevezzük együttműködőnek a folyamatot, mert a felosztás előtt van egy feltáró fázis, amiben a felek együttműködve, közösen keresik a legjobb megoldást.</w:t>
      </w:r>
      <w:r>
        <w:rPr>
          <w:spacing w:val="80"/>
        </w:rPr>
        <w:t> </w:t>
      </w:r>
      <w:r>
        <w:rPr/>
        <w:t>Azért szokták a módszert integratív tárgyalásnak is nevezni, mert a tárgyalók azért próbálják egymás álláspontjait és helyzetét mélyebben megérteni, hogy a kezdőpozíciók mögé tekintve, az azokat befolyásoló</w:t>
      </w:r>
      <w:r>
        <w:rPr>
          <w:spacing w:val="40"/>
        </w:rPr>
        <w:t> </w:t>
      </w:r>
      <w:r>
        <w:rPr/>
        <w:t>érdekeket</w:t>
      </w:r>
      <w:r>
        <w:rPr>
          <w:spacing w:val="40"/>
        </w:rPr>
        <w:t> </w:t>
      </w:r>
      <w:r>
        <w:rPr/>
        <w:t>és</w:t>
      </w:r>
      <w:r>
        <w:rPr>
          <w:spacing w:val="40"/>
        </w:rPr>
        <w:t> </w:t>
      </w:r>
      <w:r>
        <w:rPr/>
        <w:t>szükségleteket</w:t>
      </w:r>
      <w:r>
        <w:rPr>
          <w:spacing w:val="40"/>
        </w:rPr>
        <w:t> </w:t>
      </w:r>
      <w:r>
        <w:rPr/>
        <w:t>mérlegelni</w:t>
      </w:r>
      <w:r>
        <w:rPr>
          <w:spacing w:val="40"/>
        </w:rPr>
        <w:t> </w:t>
      </w:r>
      <w:r>
        <w:rPr/>
        <w:t>és</w:t>
      </w:r>
      <w:r>
        <w:rPr>
          <w:spacing w:val="40"/>
        </w:rPr>
        <w:t> </w:t>
      </w:r>
      <w:r>
        <w:rPr/>
        <w:t>integrálni</w:t>
      </w:r>
      <w:r>
        <w:rPr>
          <w:spacing w:val="40"/>
        </w:rPr>
        <w:t> </w:t>
      </w:r>
      <w:r>
        <w:rPr/>
        <w:t>tudják</w:t>
      </w:r>
      <w:r>
        <w:rPr>
          <w:spacing w:val="40"/>
        </w:rPr>
        <w:t> </w:t>
      </w:r>
      <w:r>
        <w:rPr/>
        <w:t>a</w:t>
      </w:r>
      <w:r>
        <w:rPr>
          <w:spacing w:val="40"/>
        </w:rPr>
        <w:t> </w:t>
      </w:r>
      <w:r>
        <w:rPr/>
        <w:t>megoldáskeresésbe</w:t>
      </w:r>
      <w:r>
        <w:rPr>
          <w:spacing w:val="40"/>
        </w:rPr>
        <w:t> </w:t>
      </w:r>
      <w:r>
        <w:rPr/>
        <w:t>és</w:t>
      </w:r>
    </w:p>
    <w:p>
      <w:pPr>
        <w:spacing w:after="0" w:line="360" w:lineRule="auto"/>
        <w:jc w:val="both"/>
        <w:sectPr>
          <w:pgSz w:w="11910" w:h="16840"/>
          <w:pgMar w:header="0" w:footer="1002" w:top="1360" w:bottom="1200" w:left="1300" w:right="1200"/>
        </w:sectPr>
      </w:pPr>
    </w:p>
    <w:p>
      <w:pPr>
        <w:pStyle w:val="BodyText"/>
        <w:spacing w:line="360" w:lineRule="auto" w:before="34"/>
        <w:ind w:left="116" w:right="212"/>
        <w:jc w:val="both"/>
      </w:pPr>
      <w:r>
        <w:rPr/>
        <w:t>megegyezésbe. Így nem az elosztási kompromisszum a cél, hanem a közös problémamegoldás és az együttműködésen keresztül elérhető optimális megoldás megtalálása, és az abból származó előnyök korrekt felosztása. Az együttműködés a legjobb megoldás megkeresésére irányul. Ezután természetesen</w:t>
      </w:r>
      <w:r>
        <w:rPr>
          <w:spacing w:val="-1"/>
        </w:rPr>
        <w:t> </w:t>
      </w:r>
      <w:r>
        <w:rPr/>
        <w:t>ebben a</w:t>
      </w:r>
      <w:r>
        <w:rPr>
          <w:spacing w:val="-1"/>
        </w:rPr>
        <w:t> </w:t>
      </w:r>
      <w:r>
        <w:rPr/>
        <w:t>megközelítésben is</w:t>
      </w:r>
      <w:r>
        <w:rPr>
          <w:spacing w:val="-1"/>
        </w:rPr>
        <w:t> </w:t>
      </w:r>
      <w:r>
        <w:rPr/>
        <w:t>fel</w:t>
      </w:r>
      <w:r>
        <w:rPr>
          <w:spacing w:val="-1"/>
        </w:rPr>
        <w:t> </w:t>
      </w:r>
      <w:r>
        <w:rPr/>
        <w:t>kell</w:t>
      </w:r>
      <w:r>
        <w:rPr>
          <w:spacing w:val="-1"/>
        </w:rPr>
        <w:t> </w:t>
      </w:r>
      <w:r>
        <w:rPr/>
        <w:t>osztani a javakat,</w:t>
      </w:r>
      <w:r>
        <w:rPr>
          <w:spacing w:val="40"/>
        </w:rPr>
        <w:t> </w:t>
      </w:r>
      <w:r>
        <w:rPr/>
        <w:t>korrekt, igazságos</w:t>
      </w:r>
      <w:r>
        <w:rPr>
          <w:spacing w:val="-1"/>
        </w:rPr>
        <w:t> </w:t>
      </w:r>
      <w:r>
        <w:rPr/>
        <w:t>módon.</w:t>
      </w:r>
      <w:r>
        <w:rPr>
          <w:spacing w:val="40"/>
        </w:rPr>
        <w:t> </w:t>
      </w:r>
      <w:r>
        <w:rPr/>
        <w:t>A</w:t>
      </w:r>
      <w:r>
        <w:rPr>
          <w:spacing w:val="-2"/>
        </w:rPr>
        <w:t> </w:t>
      </w:r>
      <w:r>
        <w:rPr/>
        <w:t>cél így nemcsak a legnagyobb összeredmény elérése, hanem az igazságos eredmény elérése is. A korrekt eredmény</w:t>
      </w:r>
      <w:r>
        <w:rPr>
          <w:spacing w:val="-4"/>
        </w:rPr>
        <w:t> </w:t>
      </w:r>
      <w:r>
        <w:rPr/>
        <w:t>ebben</w:t>
      </w:r>
      <w:r>
        <w:rPr>
          <w:spacing w:val="-2"/>
        </w:rPr>
        <w:t> </w:t>
      </w:r>
      <w:r>
        <w:rPr/>
        <w:t>a</w:t>
      </w:r>
      <w:r>
        <w:rPr>
          <w:spacing w:val="-2"/>
        </w:rPr>
        <w:t> </w:t>
      </w:r>
      <w:r>
        <w:rPr/>
        <w:t>felfogásban</w:t>
      </w:r>
      <w:r>
        <w:rPr>
          <w:spacing w:val="-3"/>
        </w:rPr>
        <w:t> </w:t>
      </w:r>
      <w:r>
        <w:rPr/>
        <w:t>nem</w:t>
      </w:r>
      <w:r>
        <w:rPr>
          <w:spacing w:val="-1"/>
        </w:rPr>
        <w:t> </w:t>
      </w:r>
      <w:r>
        <w:rPr/>
        <w:t>naiv</w:t>
      </w:r>
      <w:r>
        <w:rPr>
          <w:spacing w:val="-1"/>
        </w:rPr>
        <w:t> </w:t>
      </w:r>
      <w:r>
        <w:rPr/>
        <w:t>filantrópia,</w:t>
      </w:r>
      <w:r>
        <w:rPr>
          <w:spacing w:val="-2"/>
        </w:rPr>
        <w:t> </w:t>
      </w:r>
      <w:r>
        <w:rPr/>
        <w:t>hanem elérését</w:t>
      </w:r>
      <w:r>
        <w:rPr>
          <w:spacing w:val="-1"/>
        </w:rPr>
        <w:t> </w:t>
      </w:r>
      <w:r>
        <w:rPr/>
        <w:t>az</w:t>
      </w:r>
      <w:r>
        <w:rPr>
          <w:spacing w:val="-3"/>
        </w:rPr>
        <w:t> </w:t>
      </w:r>
      <w:r>
        <w:rPr/>
        <w:t>a</w:t>
      </w:r>
      <w:r>
        <w:rPr>
          <w:spacing w:val="-4"/>
        </w:rPr>
        <w:t> </w:t>
      </w:r>
      <w:r>
        <w:rPr/>
        <w:t>meggyőződés</w:t>
      </w:r>
      <w:r>
        <w:rPr>
          <w:spacing w:val="-1"/>
        </w:rPr>
        <w:t> </w:t>
      </w:r>
      <w:r>
        <w:rPr/>
        <w:t>vezeti,</w:t>
      </w:r>
      <w:r>
        <w:rPr>
          <w:spacing w:val="-2"/>
        </w:rPr>
        <w:t> </w:t>
      </w:r>
      <w:r>
        <w:rPr/>
        <w:t>hogy</w:t>
      </w:r>
      <w:r>
        <w:rPr>
          <w:spacing w:val="-4"/>
        </w:rPr>
        <w:t> </w:t>
      </w:r>
      <w:r>
        <w:rPr/>
        <w:t>a felek érdekeit korrekt módon figyelembe vevő megoldásnak van a legnagyobb esélye arra, hogy stabil, fenntartható helyzetet teremtsen.</w:t>
      </w:r>
    </w:p>
    <w:p>
      <w:pPr>
        <w:pStyle w:val="BodyText"/>
        <w:spacing w:before="206"/>
        <w:ind w:left="116"/>
        <w:jc w:val="both"/>
      </w:pPr>
      <w:r>
        <w:rPr/>
        <w:t>A</w:t>
      </w:r>
      <w:r>
        <w:rPr>
          <w:spacing w:val="-6"/>
        </w:rPr>
        <w:t> </w:t>
      </w:r>
      <w:r>
        <w:rPr/>
        <w:t>versengő</w:t>
      </w:r>
      <w:r>
        <w:rPr>
          <w:spacing w:val="-5"/>
        </w:rPr>
        <w:t> </w:t>
      </w:r>
      <w:r>
        <w:rPr/>
        <w:t>(pozíció</w:t>
      </w:r>
      <w:r>
        <w:rPr>
          <w:spacing w:val="-3"/>
        </w:rPr>
        <w:t> </w:t>
      </w:r>
      <w:r>
        <w:rPr/>
        <w:t>alapú)</w:t>
      </w:r>
      <w:r>
        <w:rPr>
          <w:spacing w:val="-6"/>
        </w:rPr>
        <w:t> </w:t>
      </w:r>
      <w:r>
        <w:rPr/>
        <w:t>tárgyalás</w:t>
      </w:r>
      <w:r>
        <w:rPr>
          <w:spacing w:val="-2"/>
        </w:rPr>
        <w:t> </w:t>
      </w:r>
      <w:r>
        <w:rPr/>
        <w:t>leglényegesebb</w:t>
      </w:r>
      <w:r>
        <w:rPr>
          <w:spacing w:val="-7"/>
        </w:rPr>
        <w:t> </w:t>
      </w:r>
      <w:r>
        <w:rPr/>
        <w:t>vonásai</w:t>
      </w:r>
      <w:r>
        <w:rPr>
          <w:spacing w:val="-4"/>
        </w:rPr>
        <w:t> </w:t>
      </w:r>
      <w:r>
        <w:rPr/>
        <w:t>tehát</w:t>
      </w:r>
      <w:r>
        <w:rPr>
          <w:spacing w:val="-4"/>
        </w:rPr>
        <w:t> </w:t>
      </w:r>
      <w:r>
        <w:rPr/>
        <w:t>a</w:t>
      </w:r>
      <w:r>
        <w:rPr>
          <w:spacing w:val="-5"/>
        </w:rPr>
        <w:t> </w:t>
      </w:r>
      <w:r>
        <w:rPr>
          <w:spacing w:val="-2"/>
        </w:rPr>
        <w:t>követezők:</w:t>
      </w:r>
    </w:p>
    <w:p>
      <w:pPr>
        <w:pStyle w:val="BodyText"/>
        <w:spacing w:before="63"/>
      </w:pPr>
    </w:p>
    <w:p>
      <w:pPr>
        <w:pStyle w:val="ListParagraph"/>
        <w:numPr>
          <w:ilvl w:val="3"/>
          <w:numId w:val="1"/>
        </w:numPr>
        <w:tabs>
          <w:tab w:pos="836" w:val="left" w:leader="none"/>
        </w:tabs>
        <w:spacing w:line="240" w:lineRule="auto" w:before="0" w:after="0"/>
        <w:ind w:left="836" w:right="0" w:hanging="360"/>
        <w:jc w:val="left"/>
        <w:rPr>
          <w:sz w:val="22"/>
        </w:rPr>
      </w:pPr>
      <w:r>
        <w:rPr>
          <w:sz w:val="22"/>
        </w:rPr>
        <w:t>a</w:t>
      </w:r>
      <w:r>
        <w:rPr>
          <w:spacing w:val="-5"/>
          <w:sz w:val="22"/>
        </w:rPr>
        <w:t> </w:t>
      </w:r>
      <w:r>
        <w:rPr>
          <w:sz w:val="22"/>
        </w:rPr>
        <w:t>tárgyaló</w:t>
      </w:r>
      <w:r>
        <w:rPr>
          <w:spacing w:val="-4"/>
          <w:sz w:val="22"/>
        </w:rPr>
        <w:t> </w:t>
      </w:r>
      <w:r>
        <w:rPr>
          <w:sz w:val="22"/>
        </w:rPr>
        <w:t>a</w:t>
      </w:r>
      <w:r>
        <w:rPr>
          <w:spacing w:val="-6"/>
          <w:sz w:val="22"/>
        </w:rPr>
        <w:t> </w:t>
      </w:r>
      <w:r>
        <w:rPr>
          <w:sz w:val="22"/>
        </w:rPr>
        <w:t>tárgyalást</w:t>
      </w:r>
      <w:r>
        <w:rPr>
          <w:spacing w:val="-4"/>
          <w:sz w:val="22"/>
        </w:rPr>
        <w:t> </w:t>
      </w:r>
      <w:r>
        <w:rPr>
          <w:sz w:val="22"/>
        </w:rPr>
        <w:t>alapvetően</w:t>
      </w:r>
      <w:r>
        <w:rPr>
          <w:spacing w:val="-4"/>
          <w:sz w:val="22"/>
        </w:rPr>
        <w:t> </w:t>
      </w:r>
      <w:r>
        <w:rPr>
          <w:sz w:val="22"/>
        </w:rPr>
        <w:t>zéró-összegű</w:t>
      </w:r>
      <w:r>
        <w:rPr>
          <w:spacing w:val="-7"/>
          <w:sz w:val="22"/>
        </w:rPr>
        <w:t> </w:t>
      </w:r>
      <w:r>
        <w:rPr>
          <w:sz w:val="22"/>
        </w:rPr>
        <w:t>játszmának</w:t>
      </w:r>
      <w:r>
        <w:rPr>
          <w:spacing w:val="-4"/>
          <w:sz w:val="22"/>
        </w:rPr>
        <w:t> </w:t>
      </w:r>
      <w:r>
        <w:rPr>
          <w:spacing w:val="-2"/>
          <w:sz w:val="22"/>
        </w:rPr>
        <w:t>látja;</w:t>
      </w:r>
    </w:p>
    <w:p>
      <w:pPr>
        <w:pStyle w:val="ListParagraph"/>
        <w:numPr>
          <w:ilvl w:val="3"/>
          <w:numId w:val="1"/>
        </w:numPr>
        <w:tabs>
          <w:tab w:pos="836" w:val="left" w:leader="none"/>
        </w:tabs>
        <w:spacing w:line="355" w:lineRule="auto" w:before="132" w:after="0"/>
        <w:ind w:left="836" w:right="214" w:hanging="360"/>
        <w:jc w:val="left"/>
        <w:rPr>
          <w:sz w:val="22"/>
        </w:rPr>
      </w:pPr>
      <w:r>
        <w:rPr>
          <w:sz w:val="22"/>
        </w:rPr>
        <w:t>a tárgyaló célja a győzelem, ami a tárgyalás tárgyát jelentő előnyök minél nagyobb részének megszerzését jelenti;</w:t>
      </w:r>
    </w:p>
    <w:p>
      <w:pPr>
        <w:pStyle w:val="ListParagraph"/>
        <w:numPr>
          <w:ilvl w:val="3"/>
          <w:numId w:val="1"/>
        </w:numPr>
        <w:tabs>
          <w:tab w:pos="836" w:val="left" w:leader="none"/>
        </w:tabs>
        <w:spacing w:line="240" w:lineRule="auto" w:before="12" w:after="0"/>
        <w:ind w:left="836" w:right="0" w:hanging="360"/>
        <w:jc w:val="left"/>
        <w:rPr>
          <w:sz w:val="22"/>
        </w:rPr>
      </w:pPr>
      <w:r>
        <w:rPr>
          <w:sz w:val="22"/>
        </w:rPr>
        <w:t>a</w:t>
      </w:r>
      <w:r>
        <w:rPr>
          <w:spacing w:val="-7"/>
          <w:sz w:val="22"/>
        </w:rPr>
        <w:t> </w:t>
      </w:r>
      <w:r>
        <w:rPr>
          <w:sz w:val="22"/>
        </w:rPr>
        <w:t>tárgyaló</w:t>
      </w:r>
      <w:r>
        <w:rPr>
          <w:spacing w:val="-3"/>
          <w:sz w:val="22"/>
        </w:rPr>
        <w:t> </w:t>
      </w:r>
      <w:r>
        <w:rPr>
          <w:sz w:val="22"/>
        </w:rPr>
        <w:t>a</w:t>
      </w:r>
      <w:r>
        <w:rPr>
          <w:spacing w:val="-6"/>
          <w:sz w:val="22"/>
        </w:rPr>
        <w:t> </w:t>
      </w:r>
      <w:r>
        <w:rPr>
          <w:sz w:val="22"/>
        </w:rPr>
        <w:t>tárgyalás</w:t>
      </w:r>
      <w:r>
        <w:rPr>
          <w:spacing w:val="-5"/>
          <w:sz w:val="22"/>
        </w:rPr>
        <w:t> </w:t>
      </w:r>
      <w:r>
        <w:rPr>
          <w:sz w:val="22"/>
        </w:rPr>
        <w:t>során</w:t>
      </w:r>
      <w:r>
        <w:rPr>
          <w:spacing w:val="-8"/>
          <w:sz w:val="22"/>
        </w:rPr>
        <w:t> </w:t>
      </w:r>
      <w:r>
        <w:rPr>
          <w:sz w:val="22"/>
        </w:rPr>
        <w:t>a</w:t>
      </w:r>
      <w:r>
        <w:rPr>
          <w:spacing w:val="-4"/>
          <w:sz w:val="22"/>
        </w:rPr>
        <w:t> </w:t>
      </w:r>
      <w:r>
        <w:rPr>
          <w:sz w:val="22"/>
        </w:rPr>
        <w:t>tárgyalópartnert</w:t>
      </w:r>
      <w:r>
        <w:rPr>
          <w:spacing w:val="-6"/>
          <w:sz w:val="22"/>
        </w:rPr>
        <w:t> </w:t>
      </w:r>
      <w:r>
        <w:rPr>
          <w:sz w:val="22"/>
        </w:rPr>
        <w:t>ellenfélnek</w:t>
      </w:r>
      <w:r>
        <w:rPr>
          <w:spacing w:val="-4"/>
          <w:sz w:val="22"/>
        </w:rPr>
        <w:t> </w:t>
      </w:r>
      <w:r>
        <w:rPr>
          <w:spacing w:val="-2"/>
          <w:sz w:val="22"/>
        </w:rPr>
        <w:t>tekinti;</w:t>
      </w:r>
    </w:p>
    <w:p>
      <w:pPr>
        <w:pStyle w:val="ListParagraph"/>
        <w:numPr>
          <w:ilvl w:val="3"/>
          <w:numId w:val="1"/>
        </w:numPr>
        <w:tabs>
          <w:tab w:pos="836" w:val="left" w:leader="none"/>
        </w:tabs>
        <w:spacing w:line="240" w:lineRule="auto" w:before="135" w:after="0"/>
        <w:ind w:left="836" w:right="0" w:hanging="360"/>
        <w:jc w:val="left"/>
        <w:rPr>
          <w:sz w:val="22"/>
        </w:rPr>
      </w:pPr>
      <w:r>
        <w:rPr>
          <w:sz w:val="22"/>
        </w:rPr>
        <w:t>a</w:t>
      </w:r>
      <w:r>
        <w:rPr>
          <w:spacing w:val="-5"/>
          <w:sz w:val="22"/>
        </w:rPr>
        <w:t> </w:t>
      </w:r>
      <w:r>
        <w:rPr>
          <w:sz w:val="22"/>
        </w:rPr>
        <w:t>tárgyalás</w:t>
      </w:r>
      <w:r>
        <w:rPr>
          <w:spacing w:val="-5"/>
          <w:sz w:val="22"/>
        </w:rPr>
        <w:t> </w:t>
      </w:r>
      <w:r>
        <w:rPr>
          <w:sz w:val="22"/>
        </w:rPr>
        <w:t>előtt</w:t>
      </w:r>
      <w:r>
        <w:rPr>
          <w:spacing w:val="-5"/>
          <w:sz w:val="22"/>
        </w:rPr>
        <w:t> </w:t>
      </w:r>
      <w:r>
        <w:rPr>
          <w:sz w:val="22"/>
        </w:rPr>
        <w:t>a</w:t>
      </w:r>
      <w:r>
        <w:rPr>
          <w:spacing w:val="-3"/>
          <w:sz w:val="22"/>
        </w:rPr>
        <w:t> </w:t>
      </w:r>
      <w:r>
        <w:rPr>
          <w:sz w:val="22"/>
        </w:rPr>
        <w:t>tárgyaló</w:t>
      </w:r>
      <w:r>
        <w:rPr>
          <w:spacing w:val="-6"/>
          <w:sz w:val="22"/>
        </w:rPr>
        <w:t> </w:t>
      </w:r>
      <w:r>
        <w:rPr>
          <w:sz w:val="22"/>
        </w:rPr>
        <w:t>kialakítja</w:t>
      </w:r>
      <w:r>
        <w:rPr>
          <w:spacing w:val="-3"/>
          <w:sz w:val="22"/>
        </w:rPr>
        <w:t> </w:t>
      </w:r>
      <w:r>
        <w:rPr>
          <w:sz w:val="22"/>
        </w:rPr>
        <w:t>pozícióját</w:t>
      </w:r>
      <w:r>
        <w:rPr>
          <w:spacing w:val="-2"/>
          <w:sz w:val="22"/>
        </w:rPr>
        <w:t> </w:t>
      </w:r>
      <w:r>
        <w:rPr>
          <w:sz w:val="22"/>
        </w:rPr>
        <w:t>(a</w:t>
      </w:r>
      <w:r>
        <w:rPr>
          <w:spacing w:val="-5"/>
          <w:sz w:val="22"/>
        </w:rPr>
        <w:t> </w:t>
      </w:r>
      <w:r>
        <w:rPr>
          <w:sz w:val="22"/>
        </w:rPr>
        <w:t>minimális</w:t>
      </w:r>
      <w:r>
        <w:rPr>
          <w:spacing w:val="-4"/>
          <w:sz w:val="22"/>
        </w:rPr>
        <w:t> </w:t>
      </w:r>
      <w:r>
        <w:rPr>
          <w:sz w:val="22"/>
        </w:rPr>
        <w:t>és</w:t>
      </w:r>
      <w:r>
        <w:rPr>
          <w:spacing w:val="-5"/>
          <w:sz w:val="22"/>
        </w:rPr>
        <w:t> </w:t>
      </w:r>
      <w:r>
        <w:rPr>
          <w:sz w:val="22"/>
        </w:rPr>
        <w:t>maximális</w:t>
      </w:r>
      <w:r>
        <w:rPr>
          <w:spacing w:val="-4"/>
          <w:sz w:val="22"/>
        </w:rPr>
        <w:t> </w:t>
      </w:r>
      <w:r>
        <w:rPr>
          <w:sz w:val="22"/>
        </w:rPr>
        <w:t>cél</w:t>
      </w:r>
      <w:r>
        <w:rPr>
          <w:spacing w:val="-4"/>
          <w:sz w:val="22"/>
        </w:rPr>
        <w:t> </w:t>
      </w:r>
      <w:r>
        <w:rPr>
          <w:spacing w:val="-2"/>
          <w:sz w:val="22"/>
        </w:rPr>
        <w:t>között);</w:t>
      </w:r>
    </w:p>
    <w:p>
      <w:pPr>
        <w:pStyle w:val="ListParagraph"/>
        <w:numPr>
          <w:ilvl w:val="3"/>
          <w:numId w:val="1"/>
        </w:numPr>
        <w:tabs>
          <w:tab w:pos="836" w:val="left" w:leader="none"/>
        </w:tabs>
        <w:spacing w:line="240" w:lineRule="auto" w:before="132" w:after="0"/>
        <w:ind w:left="836" w:right="0" w:hanging="360"/>
        <w:jc w:val="left"/>
        <w:rPr>
          <w:sz w:val="22"/>
        </w:rPr>
      </w:pPr>
      <w:r>
        <w:rPr>
          <w:sz w:val="22"/>
        </w:rPr>
        <w:t>a</w:t>
      </w:r>
      <w:r>
        <w:rPr>
          <w:spacing w:val="-6"/>
          <w:sz w:val="22"/>
        </w:rPr>
        <w:t> </w:t>
      </w:r>
      <w:r>
        <w:rPr>
          <w:sz w:val="22"/>
        </w:rPr>
        <w:t>tárgyalás</w:t>
      </w:r>
      <w:r>
        <w:rPr>
          <w:spacing w:val="-6"/>
          <w:sz w:val="22"/>
        </w:rPr>
        <w:t> </w:t>
      </w:r>
      <w:r>
        <w:rPr>
          <w:sz w:val="22"/>
        </w:rPr>
        <w:t>során</w:t>
      </w:r>
      <w:r>
        <w:rPr>
          <w:spacing w:val="-4"/>
          <w:sz w:val="22"/>
        </w:rPr>
        <w:t> </w:t>
      </w:r>
      <w:r>
        <w:rPr>
          <w:sz w:val="22"/>
        </w:rPr>
        <w:t>taktikai</w:t>
      </w:r>
      <w:r>
        <w:rPr>
          <w:spacing w:val="-3"/>
          <w:sz w:val="22"/>
        </w:rPr>
        <w:t> </w:t>
      </w:r>
      <w:r>
        <w:rPr>
          <w:sz w:val="22"/>
        </w:rPr>
        <w:t>harc</w:t>
      </w:r>
      <w:r>
        <w:rPr>
          <w:spacing w:val="-3"/>
          <w:sz w:val="22"/>
        </w:rPr>
        <w:t> </w:t>
      </w:r>
      <w:r>
        <w:rPr>
          <w:sz w:val="22"/>
        </w:rPr>
        <w:t>alakul,</w:t>
      </w:r>
      <w:r>
        <w:rPr>
          <w:spacing w:val="-3"/>
          <w:sz w:val="22"/>
        </w:rPr>
        <w:t> </w:t>
      </w:r>
      <w:r>
        <w:rPr>
          <w:sz w:val="22"/>
        </w:rPr>
        <w:t>ami</w:t>
      </w:r>
      <w:r>
        <w:rPr>
          <w:spacing w:val="-3"/>
          <w:sz w:val="22"/>
        </w:rPr>
        <w:t> </w:t>
      </w:r>
      <w:r>
        <w:rPr>
          <w:sz w:val="22"/>
        </w:rPr>
        <w:t>általában</w:t>
      </w:r>
      <w:r>
        <w:rPr>
          <w:spacing w:val="-4"/>
          <w:sz w:val="22"/>
        </w:rPr>
        <w:t> </w:t>
      </w:r>
      <w:r>
        <w:rPr>
          <w:sz w:val="22"/>
        </w:rPr>
        <w:t>a</w:t>
      </w:r>
      <w:r>
        <w:rPr>
          <w:spacing w:val="-5"/>
          <w:sz w:val="22"/>
        </w:rPr>
        <w:t> </w:t>
      </w:r>
      <w:r>
        <w:rPr>
          <w:sz w:val="22"/>
        </w:rPr>
        <w:t>pozíciók</w:t>
      </w:r>
      <w:r>
        <w:rPr>
          <w:spacing w:val="-5"/>
          <w:sz w:val="22"/>
        </w:rPr>
        <w:t> </w:t>
      </w:r>
      <w:r>
        <w:rPr>
          <w:sz w:val="22"/>
        </w:rPr>
        <w:t>védelmére</w:t>
      </w:r>
      <w:r>
        <w:rPr>
          <w:spacing w:val="-5"/>
          <w:sz w:val="22"/>
        </w:rPr>
        <w:t> </w:t>
      </w:r>
      <w:r>
        <w:rPr>
          <w:spacing w:val="-2"/>
          <w:sz w:val="22"/>
        </w:rPr>
        <w:t>irányul;</w:t>
      </w:r>
    </w:p>
    <w:p>
      <w:pPr>
        <w:pStyle w:val="ListParagraph"/>
        <w:numPr>
          <w:ilvl w:val="3"/>
          <w:numId w:val="1"/>
        </w:numPr>
        <w:tabs>
          <w:tab w:pos="836" w:val="left" w:leader="none"/>
        </w:tabs>
        <w:spacing w:line="360" w:lineRule="auto" w:before="135" w:after="0"/>
        <w:ind w:left="836" w:right="212" w:hanging="360"/>
        <w:jc w:val="both"/>
        <w:rPr>
          <w:sz w:val="22"/>
        </w:rPr>
      </w:pPr>
      <w:r>
        <w:rPr>
          <w:sz w:val="22"/>
        </w:rPr>
        <w:t>a tárgyalás eredménye jó esetben a kompromisszum (mindenki nyer is, meg veszít is, vagyis átenged, vagy valamilyen nyertes/vesztes kimenet, vagy patthelyzet (vesztes/vesztes kimenet) alakul ki.</w:t>
      </w:r>
    </w:p>
    <w:p>
      <w:pPr>
        <w:pStyle w:val="BodyText"/>
        <w:spacing w:line="360" w:lineRule="auto" w:before="200"/>
        <w:ind w:left="116" w:right="211"/>
        <w:jc w:val="both"/>
      </w:pPr>
      <w:r>
        <w:rPr/>
        <w:t>Az együttműködő tárgyaló kiindulópontja ezzel szemben az, hogy – jó eséllyel – van pozitív összegű folyamat, ha nem azonnal a „koncon” (elosztáson) kezd vitatkozni partnerével, hanem először a legjobb megoldás megtalálására fókuszál. Ebben a folyamatban a felek együttműködő, problémamegoldó partnerként tárgyalnak, azzal a céllal, hogy a lehető legjobb – a maximális összes hasznot eredményező – megoldást keressék. Más szóval nem a torta felosztására, hanem megnagyobbítására törekszenek, mert tudják, hogy a nagyobb tortából mindkettejüknek több jut, és akár elég is. A felek a problémamegoldás érdekében együttműködnek, tudásukat nem a versengő taktikára, hanem a legjobb megoldásra összpontosítják, amelyben mindkét fél érdekei </w:t>
      </w:r>
      <w:r>
        <w:rPr>
          <w:spacing w:val="-2"/>
        </w:rPr>
        <w:t>érvényesülhetnek.</w:t>
      </w:r>
    </w:p>
    <w:p>
      <w:pPr>
        <w:spacing w:after="0" w:line="360" w:lineRule="auto"/>
        <w:jc w:val="both"/>
        <w:sectPr>
          <w:pgSz w:w="11910" w:h="16840"/>
          <w:pgMar w:header="0" w:footer="1002" w:top="1360" w:bottom="1200" w:left="1300" w:right="1200"/>
        </w:sectPr>
      </w:pPr>
    </w:p>
    <w:p>
      <w:pPr>
        <w:pStyle w:val="Heading2"/>
        <w:numPr>
          <w:ilvl w:val="1"/>
          <w:numId w:val="1"/>
        </w:numPr>
        <w:tabs>
          <w:tab w:pos="600" w:val="left" w:leader="none"/>
        </w:tabs>
        <w:spacing w:line="240" w:lineRule="auto" w:before="75" w:after="0"/>
        <w:ind w:left="600" w:right="0" w:hanging="484"/>
        <w:jc w:val="left"/>
      </w:pPr>
      <w:r>
        <w:rPr>
          <w:color w:val="4F81BC"/>
        </w:rPr>
        <w:t>Pozíciók,</w:t>
      </w:r>
      <w:r>
        <w:rPr>
          <w:color w:val="4F81BC"/>
          <w:spacing w:val="-8"/>
        </w:rPr>
        <w:t> </w:t>
      </w:r>
      <w:r>
        <w:rPr>
          <w:color w:val="4F81BC"/>
        </w:rPr>
        <w:t>érdekek</w:t>
      </w:r>
      <w:r>
        <w:rPr>
          <w:color w:val="4F81BC"/>
          <w:spacing w:val="-10"/>
        </w:rPr>
        <w:t> </w:t>
      </w:r>
      <w:r>
        <w:rPr>
          <w:color w:val="4F81BC"/>
        </w:rPr>
        <w:t>és</w:t>
      </w:r>
      <w:r>
        <w:rPr>
          <w:color w:val="4F81BC"/>
          <w:spacing w:val="-10"/>
        </w:rPr>
        <w:t> </w:t>
      </w:r>
      <w:r>
        <w:rPr>
          <w:color w:val="4F81BC"/>
          <w:spacing w:val="-2"/>
        </w:rPr>
        <w:t>szükségletek</w:t>
      </w:r>
    </w:p>
    <w:p>
      <w:pPr>
        <w:pStyle w:val="BodyText"/>
        <w:rPr>
          <w:rFonts w:ascii="Cambria"/>
          <w:b/>
          <w:sz w:val="26"/>
        </w:rPr>
      </w:pPr>
    </w:p>
    <w:p>
      <w:pPr>
        <w:pStyle w:val="BodyText"/>
        <w:spacing w:before="146"/>
        <w:rPr>
          <w:rFonts w:ascii="Cambria"/>
          <w:b/>
          <w:sz w:val="26"/>
        </w:rPr>
      </w:pPr>
    </w:p>
    <w:p>
      <w:pPr>
        <w:pStyle w:val="BodyText"/>
        <w:spacing w:line="362" w:lineRule="auto"/>
        <w:ind w:left="116" w:right="213"/>
        <w:jc w:val="both"/>
      </w:pPr>
      <w:r>
        <w:rPr/>
        <w:t>Már a korábbi bekezdésekben is szerepelt a pozíció, az érdek és a szükséglet fogalma, melyek pontosítása fontos a tárgyalási folyamat mélyebb megértéséhez.</w:t>
      </w:r>
    </w:p>
    <w:p>
      <w:pPr>
        <w:pStyle w:val="BodyText"/>
        <w:spacing w:line="360" w:lineRule="auto" w:before="195"/>
        <w:ind w:left="116" w:right="214"/>
        <w:jc w:val="both"/>
      </w:pPr>
      <w:r>
        <w:rPr/>
        <w:t>Minden tárgyaló tisztában van vele, hogy az, amit a másik fél kimond egy vita kezdetén vagy egy konfliktus közepén, csak töredéke mindannak, ami valójában őt vezeti. Ezt a vita kezdetén kimondott kezdő álláspontot nevezzük pozíciónak. Az okos tárgyalóérdekei és szükségletei mérlegelése alapján alakítja ki pozícióját. A három elemet – pozíció, érdek és szükséglet – gyakran egy jéghegy három szintjeként ábrázolják.</w:t>
      </w:r>
    </w:p>
    <w:p>
      <w:pPr>
        <w:pStyle w:val="BodyText"/>
        <w:spacing w:line="360" w:lineRule="auto" w:before="201"/>
        <w:ind w:left="116" w:right="212"/>
        <w:jc w:val="both"/>
      </w:pPr>
      <w:r>
        <w:rPr/>
        <w:t>A legfelső rész a pozíció. Ez az, amit kimondunk, ezért ezt ábrázoljuk a víz felett. A pozíció kialakításakor az érdekek vezetnek minket. Ezek a jéghegy mélyebb rétegei. Érdekeinkről elképzeléseink vannak, érezzük, jó esetben végig is gondoljuk és elemezzük őket, de nem okvetlenül osztjuk meg tárgyaló partnerünkkel – ezért található az érdek a víz alatt a lenti jéghegy ábrán. Ebben</w:t>
      </w:r>
      <w:r>
        <w:rPr>
          <w:spacing w:val="40"/>
        </w:rPr>
        <w:t> </w:t>
      </w:r>
      <w:r>
        <w:rPr/>
        <w:t>a mélyebb rétegben vannak azok a tudások is, amiket</w:t>
      </w:r>
      <w:r>
        <w:rPr>
          <w:spacing w:val="-2"/>
        </w:rPr>
        <w:t> </w:t>
      </w:r>
      <w:r>
        <w:rPr/>
        <w:t>a pozíció kialakítása során</w:t>
      </w:r>
      <w:r>
        <w:rPr>
          <w:spacing w:val="-1"/>
        </w:rPr>
        <w:t> </w:t>
      </w:r>
      <w:r>
        <w:rPr/>
        <w:t>alkalmaztunk, illetve alkalmazni tudunk egy alku, vagy problémamegoldás során.. Ezek az érdekek és tudások azok, amelyek megmagyarázzák, hogy miért alakítottuk ki a pozíciónkat.</w:t>
      </w:r>
    </w:p>
    <w:p>
      <w:pPr>
        <w:pStyle w:val="BodyText"/>
        <w:spacing w:line="360" w:lineRule="auto" w:before="200"/>
        <w:ind w:left="116" w:right="211"/>
        <w:jc w:val="both"/>
      </w:pPr>
      <w:r>
        <w:rPr/>
        <w:t>Fontos még tudni az érdekekről, hogy az ember általában az érdekeit mérlegeli és hajlandó kielégítésükről tárgyalni, egyeztetni. Tudása, helyzetértékelése pedig változhat a tárgyalás alatt.</w:t>
      </w:r>
      <w:r>
        <w:rPr>
          <w:spacing w:val="40"/>
        </w:rPr>
        <w:t> </w:t>
      </w:r>
      <w:r>
        <w:rPr/>
        <w:t>Az érdekek cserélgetésével és/vagy helyzetértékelésünk megváltoztatása alapján tudunk csak aránylag</w:t>
      </w:r>
      <w:r>
        <w:rPr>
          <w:spacing w:val="40"/>
        </w:rPr>
        <w:t> </w:t>
      </w:r>
      <w:r>
        <w:rPr/>
        <w:t>jó érzéssel elmozdulni a pozíciónkból. Azért érdemes a problémamegoldás és a konfliktuskezelés során az érdekeket és a szükségleteket szétválasztani, mert az ember nem tudja feladni a szükségleteit, és korlátain nem képes átlépni. Így alkudozni csak a nézőpontokról és az érdekekről érdemes, de a szükségletekről nem.</w:t>
      </w:r>
    </w:p>
    <w:p>
      <w:pPr>
        <w:pStyle w:val="BodyText"/>
        <w:spacing w:line="362" w:lineRule="auto" w:before="200"/>
        <w:ind w:left="116" w:right="212"/>
        <w:jc w:val="both"/>
      </w:pPr>
      <w:r>
        <w:rPr/>
        <w:t>A szükségletek azért szerepelnek mégis az ábrán, mert behatárolják azt a teret, ahol a reális megoldásokat megtalálhatjuk.</w:t>
      </w:r>
      <w:r>
        <w:rPr>
          <w:spacing w:val="80"/>
        </w:rPr>
        <w:t> </w:t>
      </w:r>
      <w:r>
        <w:rPr/>
        <w:t>A lehetséges mozgástér behatárolása miatt fontos saját és tárgyalópartnerünk szükségleteit és korlátait is feltérképezni.</w:t>
      </w:r>
    </w:p>
    <w:p>
      <w:pPr>
        <w:spacing w:after="0" w:line="362" w:lineRule="auto"/>
        <w:jc w:val="both"/>
        <w:sectPr>
          <w:pgSz w:w="11910" w:h="16840"/>
          <w:pgMar w:header="0" w:footer="1002" w:top="1320" w:bottom="1200" w:left="1300" w:right="1200"/>
        </w:sectPr>
      </w:pPr>
    </w:p>
    <w:p>
      <w:pPr>
        <w:pStyle w:val="BodyText"/>
      </w:pPr>
    </w:p>
    <w:p>
      <w:pPr>
        <w:pStyle w:val="BodyText"/>
        <w:spacing w:before="147"/>
      </w:pPr>
    </w:p>
    <w:p>
      <w:pPr>
        <w:pStyle w:val="Heading3"/>
        <w:numPr>
          <w:ilvl w:val="0"/>
          <w:numId w:val="2"/>
        </w:numPr>
        <w:tabs>
          <w:tab w:pos="2995" w:val="left" w:leader="none"/>
        </w:tabs>
        <w:spacing w:line="240" w:lineRule="auto" w:before="0" w:after="0"/>
        <w:ind w:left="2995" w:right="0" w:hanging="358"/>
        <w:jc w:val="left"/>
      </w:pPr>
      <w:r>
        <w:rPr/>
        <w:t>ábra:</w:t>
      </w:r>
      <w:r>
        <w:rPr>
          <w:spacing w:val="-5"/>
        </w:rPr>
        <w:t> </w:t>
      </w:r>
      <w:r>
        <w:rPr/>
        <w:t>A</w:t>
      </w:r>
      <w:r>
        <w:rPr>
          <w:spacing w:val="-2"/>
        </w:rPr>
        <w:t> </w:t>
      </w:r>
      <w:r>
        <w:rPr/>
        <w:t>pozíció</w:t>
      </w:r>
      <w:r>
        <w:rPr>
          <w:spacing w:val="43"/>
        </w:rPr>
        <w:t> </w:t>
      </w:r>
      <w:r>
        <w:rPr/>
        <w:t>és</w:t>
      </w:r>
      <w:r>
        <w:rPr>
          <w:spacing w:val="-4"/>
        </w:rPr>
        <w:t> </w:t>
      </w:r>
      <w:r>
        <w:rPr/>
        <w:t>ami</w:t>
      </w:r>
      <w:r>
        <w:rPr>
          <w:spacing w:val="-3"/>
        </w:rPr>
        <w:t> </w:t>
      </w:r>
      <w:r>
        <w:rPr/>
        <w:t>mögötte</w:t>
      </w:r>
      <w:r>
        <w:rPr>
          <w:spacing w:val="-4"/>
        </w:rPr>
        <w:t> </w:t>
      </w:r>
      <w:r>
        <w:rPr>
          <w:spacing w:val="-5"/>
        </w:rPr>
        <w:t>van</w:t>
      </w:r>
    </w:p>
    <w:p>
      <w:pPr>
        <w:pStyle w:val="BodyText"/>
        <w:rPr>
          <w:b/>
          <w:sz w:val="20"/>
        </w:rPr>
      </w:pPr>
    </w:p>
    <w:p>
      <w:pPr>
        <w:pStyle w:val="BodyText"/>
        <w:spacing w:before="138"/>
        <w:rPr>
          <w:b/>
          <w:sz w:val="20"/>
        </w:rPr>
      </w:pPr>
      <w:r>
        <w:rPr/>
        <w:drawing>
          <wp:anchor distT="0" distB="0" distL="0" distR="0" allowOverlap="1" layoutInCell="1" locked="0" behindDoc="1" simplePos="0" relativeHeight="487591424">
            <wp:simplePos x="0" y="0"/>
            <wp:positionH relativeFrom="page">
              <wp:posOffset>899794</wp:posOffset>
            </wp:positionH>
            <wp:positionV relativeFrom="paragraph">
              <wp:posOffset>258124</wp:posOffset>
            </wp:positionV>
            <wp:extent cx="4846447" cy="3311652"/>
            <wp:effectExtent l="0" t="0" r="0" b="0"/>
            <wp:wrapTopAndBottom/>
            <wp:docPr id="13" name="Image 13"/>
            <wp:cNvGraphicFramePr>
              <a:graphicFrameLocks/>
            </wp:cNvGraphicFramePr>
            <a:graphic>
              <a:graphicData uri="http://schemas.openxmlformats.org/drawingml/2006/picture">
                <pic:pic>
                  <pic:nvPicPr>
                    <pic:cNvPr id="13" name="Image 13"/>
                    <pic:cNvPicPr/>
                  </pic:nvPicPr>
                  <pic:blipFill>
                    <a:blip r:embed="rId8" cstate="print"/>
                    <a:stretch>
                      <a:fillRect/>
                    </a:stretch>
                  </pic:blipFill>
                  <pic:spPr>
                    <a:xfrm>
                      <a:off x="0" y="0"/>
                      <a:ext cx="4846447" cy="3311652"/>
                    </a:xfrm>
                    <a:prstGeom prst="rect">
                      <a:avLst/>
                    </a:prstGeom>
                  </pic:spPr>
                </pic:pic>
              </a:graphicData>
            </a:graphic>
          </wp:anchor>
        </w:drawing>
      </w:r>
    </w:p>
    <w:p>
      <w:pPr>
        <w:pStyle w:val="BodyText"/>
        <w:spacing w:before="232"/>
        <w:rPr>
          <w:b/>
        </w:rPr>
      </w:pPr>
    </w:p>
    <w:p>
      <w:pPr>
        <w:pStyle w:val="BodyText"/>
        <w:spacing w:line="360" w:lineRule="auto"/>
        <w:ind w:left="116" w:right="212"/>
        <w:jc w:val="both"/>
      </w:pPr>
      <w:r>
        <w:rPr/>
        <w:t>Ahhoz, hogy az együttműködő tárgyalás lényegét megértsük, még egy szimbólumot bevezetünk. A fenti jéghegy, egy háromrétegű háromszögként is ábrázolható. A három réteg a pozíció, érdek és szükséglet. Ha a tárgyalás során a megegyezés lehetőségeit mérlegeljük, a tárgyaló felek</w:t>
      </w:r>
      <w:r>
        <w:rPr>
          <w:spacing w:val="40"/>
        </w:rPr>
        <w:t> </w:t>
      </w:r>
      <w:r>
        <w:rPr/>
        <w:t>álláspontját ábrázoló háromszögek egymásba metszenek.</w:t>
      </w:r>
      <w:r>
        <w:rPr>
          <w:spacing w:val="40"/>
        </w:rPr>
        <w:t> </w:t>
      </w:r>
      <w:r>
        <w:rPr/>
        <w:t>Ha ez nem így lenne, nem ülnének egy asztalhoz, és nem tárgyalnának. A tárgyalóasztalhoz azért ültek, mert van valami, ami összeköti őket: ennyiben egymásra utaltak. Az egymásrautaltság azt jelenti, hogy biztosan van közös metszete az érdekeinnek és szükségleteinknek.. (A 3. ábrán az átfedő piramisok</w:t>
      </w:r>
      <w:r>
        <w:rPr>
          <w:spacing w:val="-2"/>
        </w:rPr>
        <w:t> </w:t>
      </w:r>
      <w:r>
        <w:rPr/>
        <w:t>ezt e helyzetet érzékeltetik.) Ugyanakkor azért is szükséges a tárgyalás, vagy azért</w:t>
      </w:r>
      <w:r>
        <w:rPr>
          <w:spacing w:val="40"/>
        </w:rPr>
        <w:t> </w:t>
      </w:r>
      <w:r>
        <w:rPr/>
        <w:t>alakult ki konfliktus, mert fontos pontokon eltérnek a pozíciók, gyakran az érdekek és szükségletek is.</w:t>
      </w:r>
    </w:p>
    <w:p>
      <w:pPr>
        <w:spacing w:after="0" w:line="360" w:lineRule="auto"/>
        <w:jc w:val="both"/>
        <w:sectPr>
          <w:pgSz w:w="11910" w:h="16840"/>
          <w:pgMar w:header="0" w:footer="1002" w:top="1920" w:bottom="1200" w:left="1300" w:right="1200"/>
        </w:sectPr>
      </w:pPr>
    </w:p>
    <w:p>
      <w:pPr>
        <w:pStyle w:val="BodyText"/>
      </w:pPr>
    </w:p>
    <w:p>
      <w:pPr>
        <w:pStyle w:val="BodyText"/>
        <w:spacing w:before="147"/>
      </w:pPr>
    </w:p>
    <w:p>
      <w:pPr>
        <w:pStyle w:val="Heading3"/>
        <w:numPr>
          <w:ilvl w:val="0"/>
          <w:numId w:val="2"/>
        </w:numPr>
        <w:tabs>
          <w:tab w:pos="2995" w:val="left" w:leader="none"/>
        </w:tabs>
        <w:spacing w:line="240" w:lineRule="auto" w:before="0" w:after="0"/>
        <w:ind w:left="2995" w:right="0" w:hanging="358"/>
        <w:jc w:val="left"/>
      </w:pPr>
      <w:r>
        <w:rPr/>
        <w:t>ábra:</w:t>
      </w:r>
      <w:r>
        <w:rPr>
          <w:spacing w:val="-6"/>
        </w:rPr>
        <w:t> </w:t>
      </w:r>
      <w:r>
        <w:rPr/>
        <w:t>A</w:t>
      </w:r>
      <w:r>
        <w:rPr>
          <w:spacing w:val="-5"/>
        </w:rPr>
        <w:t> </w:t>
      </w:r>
      <w:r>
        <w:rPr/>
        <w:t>megegyezés</w:t>
      </w:r>
      <w:r>
        <w:rPr>
          <w:spacing w:val="-6"/>
        </w:rPr>
        <w:t> </w:t>
      </w:r>
      <w:r>
        <w:rPr>
          <w:spacing w:val="-2"/>
        </w:rPr>
        <w:t>lehetősége</w:t>
      </w:r>
    </w:p>
    <w:p>
      <w:pPr>
        <w:pStyle w:val="BodyText"/>
        <w:spacing w:before="109"/>
        <w:rPr>
          <w:b/>
          <w:sz w:val="20"/>
        </w:rPr>
      </w:pPr>
      <w:r>
        <w:rPr/>
        <mc:AlternateContent>
          <mc:Choice Requires="wps">
            <w:drawing>
              <wp:anchor distT="0" distB="0" distL="0" distR="0" allowOverlap="1" layoutInCell="1" locked="0" behindDoc="1" simplePos="0" relativeHeight="487591936">
                <wp:simplePos x="0" y="0"/>
                <wp:positionH relativeFrom="page">
                  <wp:posOffset>1612391</wp:posOffset>
                </wp:positionH>
                <wp:positionV relativeFrom="paragraph">
                  <wp:posOffset>239858</wp:posOffset>
                </wp:positionV>
                <wp:extent cx="4897120" cy="3702050"/>
                <wp:effectExtent l="0" t="0" r="0" b="0"/>
                <wp:wrapTopAndBottom/>
                <wp:docPr id="14" name="Group 14"/>
                <wp:cNvGraphicFramePr>
                  <a:graphicFrameLocks/>
                </wp:cNvGraphicFramePr>
                <a:graphic>
                  <a:graphicData uri="http://schemas.microsoft.com/office/word/2010/wordprocessingGroup">
                    <wpg:wgp>
                      <wpg:cNvPr id="14" name="Group 14"/>
                      <wpg:cNvGrpSpPr/>
                      <wpg:grpSpPr>
                        <a:xfrm>
                          <a:off x="0" y="0"/>
                          <a:ext cx="4897120" cy="3702050"/>
                          <a:chExt cx="4897120" cy="3702050"/>
                        </a:xfrm>
                      </wpg:grpSpPr>
                      <pic:pic>
                        <pic:nvPicPr>
                          <pic:cNvPr id="15" name="Image 15"/>
                          <pic:cNvPicPr/>
                        </pic:nvPicPr>
                        <pic:blipFill>
                          <a:blip r:embed="rId9" cstate="print"/>
                          <a:stretch>
                            <a:fillRect/>
                          </a:stretch>
                        </pic:blipFill>
                        <pic:spPr>
                          <a:xfrm>
                            <a:off x="0" y="0"/>
                            <a:ext cx="4896612" cy="3701803"/>
                          </a:xfrm>
                          <a:prstGeom prst="rect">
                            <a:avLst/>
                          </a:prstGeom>
                        </pic:spPr>
                      </pic:pic>
                      <pic:pic>
                        <pic:nvPicPr>
                          <pic:cNvPr id="16" name="Image 16"/>
                          <pic:cNvPicPr/>
                        </pic:nvPicPr>
                        <pic:blipFill>
                          <a:blip r:embed="rId10" cstate="print"/>
                          <a:stretch>
                            <a:fillRect/>
                          </a:stretch>
                        </pic:blipFill>
                        <pic:spPr>
                          <a:xfrm>
                            <a:off x="30353" y="29594"/>
                            <a:ext cx="4781804" cy="3588385"/>
                          </a:xfrm>
                          <a:prstGeom prst="rect">
                            <a:avLst/>
                          </a:prstGeom>
                        </pic:spPr>
                      </pic:pic>
                      <wps:wsp>
                        <wps:cNvPr id="17" name="Graphic 17"/>
                        <wps:cNvSpPr/>
                        <wps:spPr>
                          <a:xfrm>
                            <a:off x="24002" y="23244"/>
                            <a:ext cx="4794885" cy="3601085"/>
                          </a:xfrm>
                          <a:custGeom>
                            <a:avLst/>
                            <a:gdLst/>
                            <a:ahLst/>
                            <a:cxnLst/>
                            <a:rect l="l" t="t" r="r" b="b"/>
                            <a:pathLst>
                              <a:path w="4794885" h="3601085">
                                <a:moveTo>
                                  <a:pt x="0" y="3601085"/>
                                </a:moveTo>
                                <a:lnTo>
                                  <a:pt x="4794504" y="3601085"/>
                                </a:lnTo>
                                <a:lnTo>
                                  <a:pt x="4794504" y="0"/>
                                </a:lnTo>
                                <a:lnTo>
                                  <a:pt x="0" y="0"/>
                                </a:lnTo>
                                <a:lnTo>
                                  <a:pt x="0" y="3601085"/>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26.959999pt;margin-top:18.886501pt;width:385.6pt;height:291.5pt;mso-position-horizontal-relative:page;mso-position-vertical-relative:paragraph;z-index:-15724544;mso-wrap-distance-left:0;mso-wrap-distance-right:0" id="docshapegroup13" coordorigin="2539,378" coordsize="7712,5830">
                <v:shape style="position:absolute;left:2539;top:377;width:7712;height:5830" type="#_x0000_t75" id="docshape14" stroked="false">
                  <v:imagedata r:id="rId9" o:title=""/>
                </v:shape>
                <v:shape style="position:absolute;left:2587;top:424;width:7531;height:5651" type="#_x0000_t75" id="docshape15" stroked="false">
                  <v:imagedata r:id="rId10" o:title=""/>
                </v:shape>
                <v:rect style="position:absolute;left:2577;top:414;width:7551;height:5671" id="docshape16" filled="false" stroked="true" strokeweight="1pt" strokecolor="#000000">
                  <v:stroke dashstyle="solid"/>
                </v:rect>
                <w10:wrap type="topAndBottom"/>
              </v:group>
            </w:pict>
          </mc:Fallback>
        </mc:AlternateContent>
      </w:r>
    </w:p>
    <w:p>
      <w:pPr>
        <w:pStyle w:val="BodyText"/>
        <w:rPr>
          <w:b/>
        </w:rPr>
      </w:pPr>
    </w:p>
    <w:p>
      <w:pPr>
        <w:pStyle w:val="BodyText"/>
        <w:rPr>
          <w:b/>
        </w:rPr>
      </w:pPr>
    </w:p>
    <w:p>
      <w:pPr>
        <w:pStyle w:val="BodyText"/>
        <w:spacing w:before="167"/>
        <w:rPr>
          <w:b/>
        </w:rPr>
      </w:pPr>
    </w:p>
    <w:p>
      <w:pPr>
        <w:pStyle w:val="BodyText"/>
        <w:spacing w:line="360" w:lineRule="auto"/>
        <w:ind w:left="116" w:right="212"/>
        <w:jc w:val="both"/>
      </w:pPr>
      <w:r>
        <w:rPr/>
        <w:t>Amikor pozíciók alapján tárgyalunk, az a kérdés, hogy ki mennyit enged. Kötélhúzás indul, amely eldönti, hogy a két kiinduló álláspont között melyik ponton kötjük meg a kompromisszumot. Az együttműködő stratégia ettől eltérő. Az érdek alapú/együttműködő tárgyalás kiindulópontja az, hogy ha nem a pozíciónkhoz ragaszkodunk, hanem feltérképezzük érdekeink és szükségleteink közös és eltérő elemeit, akkor jó esélyünk van olyan megoldást találni, amivel mindkét fél élni tud. Mint korábban már írtam, az ilyen tárgyalás fókuszában nem a „torta felosztása”, hanem a megnagyobbítása (vagyis a legjobb megoldás) van.</w:t>
      </w:r>
    </w:p>
    <w:p>
      <w:pPr>
        <w:pStyle w:val="BodyText"/>
        <w:spacing w:line="360" w:lineRule="auto" w:before="200"/>
        <w:ind w:left="116" w:right="211"/>
        <w:jc w:val="both"/>
      </w:pPr>
      <w:r>
        <w:rPr/>
        <w:t>Az együttműködő tárgyalók azt kívánják először feltárni, hogy mik a felek érdekei és szükségletei, vagyis azok a dolgok, amikben alkudni tudnak (érdekek) és azok, amiből nem tudnak engedni (szükséglet/korlát). A helyzetről így kialakuló teljes kép ismeretében keresik azután a felek a legnagyobb közös/összes hasznot jelentő megoldást. A taktika itt nem a másik sarokba szorítására, meggyőzésére,</w:t>
      </w:r>
      <w:r>
        <w:rPr>
          <w:spacing w:val="30"/>
        </w:rPr>
        <w:t> </w:t>
      </w:r>
      <w:r>
        <w:rPr/>
        <w:t>legyőzésére</w:t>
      </w:r>
      <w:r>
        <w:rPr>
          <w:spacing w:val="32"/>
        </w:rPr>
        <w:t> </w:t>
      </w:r>
      <w:r>
        <w:rPr/>
        <w:t>irányul,</w:t>
      </w:r>
      <w:r>
        <w:rPr>
          <w:spacing w:val="29"/>
        </w:rPr>
        <w:t> </w:t>
      </w:r>
      <w:r>
        <w:rPr/>
        <w:t>hanem</w:t>
      </w:r>
      <w:r>
        <w:rPr>
          <w:spacing w:val="33"/>
        </w:rPr>
        <w:t> </w:t>
      </w:r>
      <w:r>
        <w:rPr/>
        <w:t>az</w:t>
      </w:r>
      <w:r>
        <w:rPr>
          <w:spacing w:val="28"/>
        </w:rPr>
        <w:t> </w:t>
      </w:r>
      <w:r>
        <w:rPr/>
        <w:t>a</w:t>
      </w:r>
      <w:r>
        <w:rPr>
          <w:spacing w:val="29"/>
        </w:rPr>
        <w:t> </w:t>
      </w:r>
      <w:r>
        <w:rPr/>
        <w:t>célja,</w:t>
      </w:r>
      <w:r>
        <w:rPr>
          <w:spacing w:val="32"/>
        </w:rPr>
        <w:t> </w:t>
      </w:r>
      <w:r>
        <w:rPr/>
        <w:t>hogy</w:t>
      </w:r>
      <w:r>
        <w:rPr>
          <w:spacing w:val="30"/>
        </w:rPr>
        <w:t> </w:t>
      </w:r>
      <w:r>
        <w:rPr/>
        <w:t>kialakulhasson</w:t>
      </w:r>
      <w:r>
        <w:rPr>
          <w:spacing w:val="31"/>
        </w:rPr>
        <w:t> </w:t>
      </w:r>
      <w:r>
        <w:rPr/>
        <w:t>az</w:t>
      </w:r>
      <w:r>
        <w:rPr>
          <w:spacing w:val="29"/>
        </w:rPr>
        <w:t> </w:t>
      </w:r>
      <w:r>
        <w:rPr/>
        <w:t>a</w:t>
      </w:r>
      <w:r>
        <w:rPr>
          <w:spacing w:val="32"/>
        </w:rPr>
        <w:t> </w:t>
      </w:r>
      <w:r>
        <w:rPr/>
        <w:t>biztonságos</w:t>
      </w:r>
      <w:r>
        <w:rPr>
          <w:spacing w:val="29"/>
        </w:rPr>
        <w:t> </w:t>
      </w:r>
      <w:r>
        <w:rPr/>
        <w:t>tér</w:t>
      </w:r>
      <w:r>
        <w:rPr>
          <w:spacing w:val="29"/>
        </w:rPr>
        <w:t> </w:t>
      </w:r>
      <w:r>
        <w:rPr/>
        <w:t>és</w:t>
      </w:r>
    </w:p>
    <w:p>
      <w:pPr>
        <w:spacing w:after="0" w:line="360" w:lineRule="auto"/>
        <w:jc w:val="both"/>
        <w:sectPr>
          <w:pgSz w:w="11910" w:h="16840"/>
          <w:pgMar w:header="0" w:footer="1002" w:top="1920" w:bottom="1200" w:left="1300" w:right="1200"/>
        </w:sectPr>
      </w:pPr>
    </w:p>
    <w:p>
      <w:pPr>
        <w:pStyle w:val="BodyText"/>
        <w:spacing w:line="362" w:lineRule="auto" w:before="34"/>
        <w:ind w:left="116" w:right="212"/>
        <w:jc w:val="both"/>
      </w:pPr>
      <w:r>
        <w:rPr/>
        <w:t>helyzet, amelyben a felek megnyílnak, és elegendő információt adnak saját motivációikról ahhoz, hogy aránylag teljes legyen a kép a problémamegoldáshoz.</w:t>
      </w:r>
    </w:p>
    <w:p>
      <w:pPr>
        <w:pStyle w:val="BodyText"/>
        <w:spacing w:line="360" w:lineRule="auto" w:before="195"/>
        <w:ind w:left="116" w:right="212"/>
        <w:jc w:val="both"/>
      </w:pPr>
      <w:r>
        <w:rPr/>
        <w:t>E folyamat legfontosabb eszközei a tisztelet, a biztonság, az aktív figyelem és a térképezésnek (legjobb alternatíva keresésének) és elköteleződésnek a szétválasztása. Ebben a megközelítésben az első az érdekek kölcsönös megértése. Ez alapján lehet a közös pontokat megkeresni, és olyan megoldásokat kitalálni, amelyek legjobban illeszkednek az érdekekhez.</w:t>
      </w:r>
      <w:r>
        <w:rPr>
          <w:spacing w:val="40"/>
        </w:rPr>
        <w:t> </w:t>
      </w:r>
      <w:r>
        <w:rPr/>
        <w:t>Alkuról, felosztásról, megegyezésről csak ez után érdemes beszélni, amikor kialakul a legjobb megoldás. Az, amely a legtöbb előnnyel járhat..</w:t>
      </w:r>
    </w:p>
    <w:p>
      <w:pPr>
        <w:spacing w:after="0" w:line="360" w:lineRule="auto"/>
        <w:jc w:val="both"/>
        <w:sectPr>
          <w:pgSz w:w="11910" w:h="16840"/>
          <w:pgMar w:header="0" w:footer="1002" w:top="1360" w:bottom="1200" w:left="1300" w:right="1200"/>
        </w:sectPr>
      </w:pPr>
    </w:p>
    <w:p>
      <w:pPr>
        <w:pStyle w:val="BodyText"/>
        <w:spacing w:before="37"/>
        <w:ind w:left="116"/>
      </w:pPr>
      <w:r>
        <w:rPr/>
        <w:t>Az</w:t>
      </w:r>
      <w:r>
        <w:rPr>
          <w:spacing w:val="-6"/>
        </w:rPr>
        <w:t> </w:t>
      </w:r>
      <w:r>
        <w:rPr/>
        <w:t>itt</w:t>
      </w:r>
      <w:r>
        <w:rPr>
          <w:spacing w:val="-3"/>
        </w:rPr>
        <w:t> </w:t>
      </w:r>
      <w:r>
        <w:rPr/>
        <w:t>következő</w:t>
      </w:r>
      <w:r>
        <w:rPr>
          <w:spacing w:val="-5"/>
        </w:rPr>
        <w:t> </w:t>
      </w:r>
      <w:r>
        <w:rPr/>
        <w:t>1.</w:t>
      </w:r>
      <w:r>
        <w:rPr>
          <w:spacing w:val="-3"/>
        </w:rPr>
        <w:t> </w:t>
      </w:r>
      <w:r>
        <w:rPr/>
        <w:t>táblázat</w:t>
      </w:r>
      <w:r>
        <w:rPr>
          <w:spacing w:val="-5"/>
        </w:rPr>
        <w:t> </w:t>
      </w:r>
      <w:r>
        <w:rPr/>
        <w:t>a</w:t>
      </w:r>
      <w:r>
        <w:rPr>
          <w:spacing w:val="-3"/>
        </w:rPr>
        <w:t> </w:t>
      </w:r>
      <w:r>
        <w:rPr/>
        <w:t>két</w:t>
      </w:r>
      <w:r>
        <w:rPr>
          <w:spacing w:val="-5"/>
        </w:rPr>
        <w:t> </w:t>
      </w:r>
      <w:r>
        <w:rPr/>
        <w:t>tárgyalási</w:t>
      </w:r>
      <w:r>
        <w:rPr>
          <w:spacing w:val="-5"/>
        </w:rPr>
        <w:t> </w:t>
      </w:r>
      <w:r>
        <w:rPr/>
        <w:t>megközelítés</w:t>
      </w:r>
      <w:r>
        <w:rPr>
          <w:spacing w:val="-2"/>
        </w:rPr>
        <w:t> </w:t>
      </w:r>
      <w:r>
        <w:rPr/>
        <w:t>rövid</w:t>
      </w:r>
      <w:r>
        <w:rPr>
          <w:spacing w:val="-7"/>
        </w:rPr>
        <w:t> </w:t>
      </w:r>
      <w:r>
        <w:rPr/>
        <w:t>összefoglalóját</w:t>
      </w:r>
      <w:r>
        <w:rPr>
          <w:spacing w:val="-3"/>
        </w:rPr>
        <w:t> </w:t>
      </w:r>
      <w:r>
        <w:rPr>
          <w:spacing w:val="-2"/>
        </w:rPr>
        <w:t>adja.</w:t>
      </w:r>
    </w:p>
    <w:p>
      <w:pPr>
        <w:pStyle w:val="BodyText"/>
        <w:spacing w:before="68"/>
      </w:pPr>
    </w:p>
    <w:p>
      <w:pPr>
        <w:pStyle w:val="Heading3"/>
        <w:ind w:left="476" w:firstLine="0"/>
      </w:pPr>
      <w:r>
        <w:rPr>
          <w:b w:val="0"/>
        </w:rPr>
        <w:t>1.</w:t>
      </w:r>
      <w:r>
        <w:rPr>
          <w:b w:val="0"/>
          <w:spacing w:val="40"/>
        </w:rPr>
        <w:t>  </w:t>
      </w:r>
      <w:r>
        <w:rPr/>
        <w:t>táblázat:</w:t>
      </w:r>
      <w:r>
        <w:rPr>
          <w:spacing w:val="-3"/>
        </w:rPr>
        <w:t> </w:t>
      </w:r>
      <w:r>
        <w:rPr/>
        <w:t>Tárgyalási</w:t>
      </w:r>
      <w:r>
        <w:rPr>
          <w:spacing w:val="-4"/>
        </w:rPr>
        <w:t> </w:t>
      </w:r>
      <w:r>
        <w:rPr>
          <w:spacing w:val="-2"/>
        </w:rPr>
        <w:t>technikák</w:t>
      </w:r>
      <w:r>
        <w:rPr>
          <w:spacing w:val="-2"/>
          <w:vertAlign w:val="superscript"/>
        </w:rPr>
        <w:t>12</w:t>
      </w:r>
    </w:p>
    <w:p>
      <w:pPr>
        <w:pStyle w:val="BodyText"/>
        <w:spacing w:before="90"/>
        <w:rPr>
          <w:b/>
          <w:sz w:val="20"/>
        </w:rPr>
      </w:pPr>
    </w:p>
    <w:tbl>
      <w:tblPr>
        <w:tblW w:w="0" w:type="auto"/>
        <w:jc w:val="left"/>
        <w:tblInd w:w="4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452"/>
        <w:gridCol w:w="386"/>
        <w:gridCol w:w="2503"/>
        <w:gridCol w:w="332"/>
        <w:gridCol w:w="1951"/>
        <w:gridCol w:w="1276"/>
      </w:tblGrid>
      <w:tr>
        <w:trPr>
          <w:trHeight w:val="928" w:hRule="atLeast"/>
        </w:trPr>
        <w:tc>
          <w:tcPr>
            <w:tcW w:w="5673" w:type="dxa"/>
            <w:gridSpan w:val="4"/>
          </w:tcPr>
          <w:p>
            <w:pPr>
              <w:pStyle w:val="TableParagraph"/>
              <w:spacing w:line="364" w:lineRule="auto"/>
              <w:ind w:left="110" w:right="1788"/>
              <w:rPr>
                <w:rFonts w:ascii="Arial" w:hAnsi="Arial"/>
                <w:b/>
                <w:sz w:val="20"/>
              </w:rPr>
            </w:pPr>
            <w:r>
              <w:rPr>
                <w:rFonts w:ascii="Arial" w:hAnsi="Arial"/>
                <w:b/>
                <w:sz w:val="20"/>
              </w:rPr>
              <w:t>VERSENGŐ</w:t>
            </w:r>
            <w:r>
              <w:rPr>
                <w:rFonts w:ascii="Arial" w:hAnsi="Arial"/>
                <w:b/>
                <w:spacing w:val="-14"/>
                <w:sz w:val="20"/>
              </w:rPr>
              <w:t> </w:t>
            </w:r>
            <w:r>
              <w:rPr>
                <w:rFonts w:ascii="Arial" w:hAnsi="Arial"/>
                <w:b/>
                <w:sz w:val="20"/>
              </w:rPr>
              <w:t>tárgyalási</w:t>
            </w:r>
            <w:r>
              <w:rPr>
                <w:rFonts w:ascii="Arial" w:hAnsi="Arial"/>
                <w:b/>
                <w:spacing w:val="-14"/>
                <w:sz w:val="20"/>
              </w:rPr>
              <w:t> </w:t>
            </w:r>
            <w:r>
              <w:rPr>
                <w:rFonts w:ascii="Arial" w:hAnsi="Arial"/>
                <w:b/>
                <w:sz w:val="20"/>
              </w:rPr>
              <w:t>technika POZÍCIÓ ALAPÚ</w:t>
            </w:r>
          </w:p>
        </w:tc>
        <w:tc>
          <w:tcPr>
            <w:tcW w:w="1951" w:type="dxa"/>
            <w:tcBorders>
              <w:right w:val="nil"/>
            </w:tcBorders>
          </w:tcPr>
          <w:p>
            <w:pPr>
              <w:pStyle w:val="TableParagraph"/>
              <w:spacing w:line="225" w:lineRule="exact"/>
              <w:rPr>
                <w:rFonts w:ascii="Arial" w:hAnsi="Arial"/>
                <w:b/>
                <w:sz w:val="20"/>
              </w:rPr>
            </w:pPr>
            <w:r>
              <w:rPr>
                <w:rFonts w:ascii="Arial" w:hAnsi="Arial"/>
                <w:b/>
                <w:spacing w:val="-2"/>
                <w:sz w:val="20"/>
              </w:rPr>
              <w:t>EGYÜTTMŰKÖDŐ</w:t>
            </w:r>
          </w:p>
          <w:p>
            <w:pPr>
              <w:pStyle w:val="TableParagraph"/>
              <w:rPr>
                <w:rFonts w:ascii="Arial"/>
                <w:b/>
                <w:sz w:val="20"/>
              </w:rPr>
            </w:pPr>
            <w:r>
              <w:rPr>
                <w:rFonts w:ascii="Arial"/>
                <w:b/>
                <w:spacing w:val="-2"/>
                <w:sz w:val="20"/>
              </w:rPr>
              <w:t>technika</w:t>
            </w:r>
          </w:p>
          <w:p>
            <w:pPr>
              <w:pStyle w:val="TableParagraph"/>
              <w:spacing w:before="121"/>
              <w:rPr>
                <w:rFonts w:ascii="Arial" w:hAnsi="Arial"/>
                <w:b/>
                <w:sz w:val="20"/>
              </w:rPr>
            </w:pPr>
            <w:r>
              <w:rPr>
                <w:rFonts w:ascii="Arial" w:hAnsi="Arial"/>
                <w:b/>
                <w:sz w:val="20"/>
              </w:rPr>
              <w:t>ÉRDEK</w:t>
            </w:r>
            <w:r>
              <w:rPr>
                <w:rFonts w:ascii="Arial" w:hAnsi="Arial"/>
                <w:b/>
                <w:spacing w:val="-6"/>
                <w:sz w:val="20"/>
              </w:rPr>
              <w:t> </w:t>
            </w:r>
            <w:r>
              <w:rPr>
                <w:rFonts w:ascii="Arial" w:hAnsi="Arial"/>
                <w:b/>
                <w:spacing w:val="-2"/>
                <w:sz w:val="20"/>
              </w:rPr>
              <w:t>ALAPÚ</w:t>
            </w:r>
          </w:p>
        </w:tc>
        <w:tc>
          <w:tcPr>
            <w:tcW w:w="1276" w:type="dxa"/>
            <w:tcBorders>
              <w:left w:val="nil"/>
            </w:tcBorders>
          </w:tcPr>
          <w:p>
            <w:pPr>
              <w:pStyle w:val="TableParagraph"/>
              <w:spacing w:line="225" w:lineRule="exact"/>
              <w:ind w:left="0" w:right="100"/>
              <w:jc w:val="right"/>
              <w:rPr>
                <w:rFonts w:ascii="Arial" w:hAnsi="Arial"/>
                <w:b/>
                <w:sz w:val="20"/>
              </w:rPr>
            </w:pPr>
            <w:r>
              <w:rPr>
                <w:rFonts w:ascii="Arial" w:hAnsi="Arial"/>
                <w:b/>
                <w:spacing w:val="-2"/>
                <w:sz w:val="20"/>
              </w:rPr>
              <w:t>tárgyalási</w:t>
            </w:r>
          </w:p>
        </w:tc>
      </w:tr>
      <w:tr>
        <w:trPr>
          <w:trHeight w:val="974" w:hRule="atLeast"/>
        </w:trPr>
        <w:tc>
          <w:tcPr>
            <w:tcW w:w="5673" w:type="dxa"/>
            <w:gridSpan w:val="4"/>
          </w:tcPr>
          <w:p>
            <w:pPr>
              <w:pStyle w:val="TableParagraph"/>
              <w:spacing w:before="1"/>
              <w:ind w:left="110"/>
              <w:rPr>
                <w:b/>
                <w:sz w:val="20"/>
              </w:rPr>
            </w:pPr>
            <w:r>
              <w:rPr>
                <w:b/>
                <w:spacing w:val="-2"/>
                <w:sz w:val="20"/>
              </w:rPr>
              <w:t>Alapprobléma:</w:t>
            </w:r>
          </w:p>
          <w:p>
            <w:pPr>
              <w:pStyle w:val="TableParagraph"/>
              <w:spacing w:before="118"/>
              <w:ind w:left="110"/>
              <w:rPr>
                <w:sz w:val="20"/>
              </w:rPr>
            </w:pPr>
            <w:r>
              <w:rPr>
                <w:sz w:val="20"/>
              </w:rPr>
              <w:t>Pozícióvédő</w:t>
            </w:r>
            <w:r>
              <w:rPr>
                <w:spacing w:val="-9"/>
                <w:sz w:val="20"/>
              </w:rPr>
              <w:t> </w:t>
            </w:r>
            <w:r>
              <w:rPr>
                <w:sz w:val="20"/>
              </w:rPr>
              <w:t>tárgyalás:</w:t>
            </w:r>
            <w:r>
              <w:rPr>
                <w:spacing w:val="-9"/>
                <w:sz w:val="20"/>
              </w:rPr>
              <w:t> </w:t>
            </w:r>
            <w:r>
              <w:rPr>
                <w:sz w:val="20"/>
              </w:rPr>
              <w:t>milyen</w:t>
            </w:r>
            <w:r>
              <w:rPr>
                <w:spacing w:val="-9"/>
                <w:sz w:val="20"/>
              </w:rPr>
              <w:t> </w:t>
            </w:r>
            <w:r>
              <w:rPr>
                <w:sz w:val="20"/>
              </w:rPr>
              <w:t>játszmát</w:t>
            </w:r>
            <w:r>
              <w:rPr>
                <w:spacing w:val="-8"/>
                <w:sz w:val="20"/>
              </w:rPr>
              <w:t> </w:t>
            </w:r>
            <w:r>
              <w:rPr>
                <w:spacing w:val="-2"/>
                <w:sz w:val="20"/>
              </w:rPr>
              <w:t>játsszak?</w:t>
            </w:r>
          </w:p>
        </w:tc>
        <w:tc>
          <w:tcPr>
            <w:tcW w:w="1951" w:type="dxa"/>
            <w:tcBorders>
              <w:right w:val="nil"/>
            </w:tcBorders>
          </w:tcPr>
          <w:p>
            <w:pPr>
              <w:pStyle w:val="TableParagraph"/>
              <w:spacing w:before="1"/>
              <w:rPr>
                <w:b/>
                <w:sz w:val="20"/>
              </w:rPr>
            </w:pPr>
            <w:r>
              <w:rPr>
                <w:b/>
                <w:spacing w:val="-2"/>
                <w:sz w:val="20"/>
              </w:rPr>
              <w:t>Megoldás:</w:t>
            </w:r>
          </w:p>
          <w:p>
            <w:pPr>
              <w:pStyle w:val="TableParagraph"/>
              <w:tabs>
                <w:tab w:pos="1176" w:val="left" w:leader="none"/>
                <w:tab w:pos="1744" w:val="left" w:leader="none"/>
              </w:tabs>
              <w:spacing w:before="118"/>
              <w:ind w:right="103"/>
              <w:rPr>
                <w:sz w:val="20"/>
              </w:rPr>
            </w:pPr>
            <w:r>
              <w:rPr>
                <w:spacing w:val="-2"/>
                <w:sz w:val="20"/>
              </w:rPr>
              <w:t>Változtasd</w:t>
            </w:r>
            <w:r>
              <w:rPr>
                <w:sz w:val="20"/>
              </w:rPr>
              <w:tab/>
            </w:r>
            <w:r>
              <w:rPr>
                <w:spacing w:val="-4"/>
                <w:sz w:val="20"/>
              </w:rPr>
              <w:t>meg</w:t>
            </w:r>
            <w:r>
              <w:rPr>
                <w:sz w:val="20"/>
              </w:rPr>
              <w:tab/>
            </w:r>
            <w:r>
              <w:rPr>
                <w:spacing w:val="-10"/>
                <w:sz w:val="20"/>
              </w:rPr>
              <w:t>a</w:t>
            </w:r>
            <w:r>
              <w:rPr>
                <w:sz w:val="20"/>
              </w:rPr>
              <w:t> lényegről tárgyalj!</w:t>
            </w:r>
          </w:p>
        </w:tc>
        <w:tc>
          <w:tcPr>
            <w:tcW w:w="1276" w:type="dxa"/>
            <w:tcBorders>
              <w:left w:val="nil"/>
            </w:tcBorders>
          </w:tcPr>
          <w:p>
            <w:pPr>
              <w:pStyle w:val="TableParagraph"/>
              <w:spacing w:before="119"/>
              <w:ind w:left="0"/>
              <w:rPr>
                <w:b/>
                <w:sz w:val="20"/>
              </w:rPr>
            </w:pPr>
          </w:p>
          <w:p>
            <w:pPr>
              <w:pStyle w:val="TableParagraph"/>
              <w:tabs>
                <w:tab w:pos="959" w:val="left" w:leader="none"/>
              </w:tabs>
              <w:ind w:left="0" w:right="101"/>
              <w:jc w:val="right"/>
              <w:rPr>
                <w:sz w:val="20"/>
              </w:rPr>
            </w:pPr>
            <w:r>
              <w:rPr>
                <w:spacing w:val="-2"/>
                <w:sz w:val="20"/>
              </w:rPr>
              <w:t>játszmát:</w:t>
            </w:r>
            <w:r>
              <w:rPr>
                <w:sz w:val="20"/>
              </w:rPr>
              <w:tab/>
            </w:r>
            <w:r>
              <w:rPr>
                <w:spacing w:val="-10"/>
                <w:sz w:val="20"/>
              </w:rPr>
              <w:t>a</w:t>
            </w:r>
          </w:p>
        </w:tc>
      </w:tr>
      <w:tr>
        <w:trPr>
          <w:trHeight w:val="365" w:hRule="atLeast"/>
        </w:trPr>
        <w:tc>
          <w:tcPr>
            <w:tcW w:w="2838" w:type="dxa"/>
            <w:gridSpan w:val="2"/>
          </w:tcPr>
          <w:p>
            <w:pPr>
              <w:pStyle w:val="TableParagraph"/>
              <w:spacing w:line="243" w:lineRule="exact"/>
              <w:ind w:left="110"/>
              <w:rPr>
                <w:b/>
                <w:sz w:val="20"/>
              </w:rPr>
            </w:pPr>
            <w:r>
              <w:rPr>
                <w:b/>
                <w:sz w:val="20"/>
              </w:rPr>
              <w:t>Puha</w:t>
            </w:r>
            <w:r>
              <w:rPr>
                <w:b/>
                <w:spacing w:val="-6"/>
                <w:sz w:val="20"/>
              </w:rPr>
              <w:t> </w:t>
            </w:r>
            <w:r>
              <w:rPr>
                <w:b/>
                <w:spacing w:val="-2"/>
                <w:sz w:val="20"/>
              </w:rPr>
              <w:t>tárgyalás</w:t>
            </w:r>
          </w:p>
        </w:tc>
        <w:tc>
          <w:tcPr>
            <w:tcW w:w="2835" w:type="dxa"/>
            <w:gridSpan w:val="2"/>
          </w:tcPr>
          <w:p>
            <w:pPr>
              <w:pStyle w:val="TableParagraph"/>
              <w:spacing w:line="243" w:lineRule="exact"/>
              <w:ind w:left="107"/>
              <w:rPr>
                <w:b/>
                <w:sz w:val="20"/>
              </w:rPr>
            </w:pPr>
            <w:r>
              <w:rPr>
                <w:b/>
                <w:sz w:val="20"/>
              </w:rPr>
              <w:t>Kemény</w:t>
            </w:r>
            <w:r>
              <w:rPr>
                <w:b/>
                <w:spacing w:val="-9"/>
                <w:sz w:val="20"/>
              </w:rPr>
              <w:t> </w:t>
            </w:r>
            <w:r>
              <w:rPr>
                <w:b/>
                <w:spacing w:val="-2"/>
                <w:sz w:val="20"/>
              </w:rPr>
              <w:t>tárgyalás</w:t>
            </w:r>
          </w:p>
        </w:tc>
        <w:tc>
          <w:tcPr>
            <w:tcW w:w="3227" w:type="dxa"/>
            <w:gridSpan w:val="2"/>
          </w:tcPr>
          <w:p>
            <w:pPr>
              <w:pStyle w:val="TableParagraph"/>
              <w:spacing w:line="243" w:lineRule="exact"/>
              <w:rPr>
                <w:b/>
                <w:sz w:val="20"/>
              </w:rPr>
            </w:pPr>
            <w:r>
              <w:rPr>
                <w:b/>
                <w:sz w:val="20"/>
              </w:rPr>
              <w:t>Elvekkel</w:t>
            </w:r>
            <w:r>
              <w:rPr>
                <w:b/>
                <w:spacing w:val="-11"/>
                <w:sz w:val="20"/>
              </w:rPr>
              <w:t> </w:t>
            </w:r>
            <w:r>
              <w:rPr>
                <w:b/>
                <w:spacing w:val="-2"/>
                <w:sz w:val="20"/>
              </w:rPr>
              <w:t>tárgyaló</w:t>
            </w:r>
          </w:p>
        </w:tc>
      </w:tr>
      <w:tr>
        <w:trPr>
          <w:trHeight w:val="364" w:hRule="atLeast"/>
        </w:trPr>
        <w:tc>
          <w:tcPr>
            <w:tcW w:w="2838" w:type="dxa"/>
            <w:gridSpan w:val="2"/>
          </w:tcPr>
          <w:p>
            <w:pPr>
              <w:pStyle w:val="TableParagraph"/>
              <w:spacing w:line="243" w:lineRule="exact"/>
              <w:ind w:left="110"/>
              <w:rPr>
                <w:sz w:val="20"/>
              </w:rPr>
            </w:pPr>
            <w:r>
              <w:rPr>
                <w:sz w:val="20"/>
              </w:rPr>
              <w:t>A</w:t>
            </w:r>
            <w:r>
              <w:rPr>
                <w:spacing w:val="-8"/>
                <w:sz w:val="20"/>
              </w:rPr>
              <w:t> </w:t>
            </w:r>
            <w:r>
              <w:rPr>
                <w:sz w:val="20"/>
              </w:rPr>
              <w:t>résztvevők</w:t>
            </w:r>
            <w:r>
              <w:rPr>
                <w:spacing w:val="-7"/>
                <w:sz w:val="20"/>
              </w:rPr>
              <w:t> </w:t>
            </w:r>
            <w:r>
              <w:rPr>
                <w:spacing w:val="-2"/>
                <w:sz w:val="20"/>
              </w:rPr>
              <w:t>barátok.</w:t>
            </w:r>
          </w:p>
        </w:tc>
        <w:tc>
          <w:tcPr>
            <w:tcW w:w="2835" w:type="dxa"/>
            <w:gridSpan w:val="2"/>
          </w:tcPr>
          <w:p>
            <w:pPr>
              <w:pStyle w:val="TableParagraph"/>
              <w:spacing w:line="243" w:lineRule="exact"/>
              <w:ind w:left="107"/>
              <w:rPr>
                <w:sz w:val="20"/>
              </w:rPr>
            </w:pPr>
            <w:r>
              <w:rPr>
                <w:sz w:val="20"/>
              </w:rPr>
              <w:t>A</w:t>
            </w:r>
            <w:r>
              <w:rPr>
                <w:spacing w:val="-8"/>
                <w:sz w:val="20"/>
              </w:rPr>
              <w:t> </w:t>
            </w:r>
            <w:r>
              <w:rPr>
                <w:sz w:val="20"/>
              </w:rPr>
              <w:t>résztvevők</w:t>
            </w:r>
            <w:r>
              <w:rPr>
                <w:spacing w:val="-7"/>
                <w:sz w:val="20"/>
              </w:rPr>
              <w:t> </w:t>
            </w:r>
            <w:r>
              <w:rPr>
                <w:spacing w:val="-2"/>
                <w:sz w:val="20"/>
              </w:rPr>
              <w:t>ellenfelek.</w:t>
            </w:r>
          </w:p>
        </w:tc>
        <w:tc>
          <w:tcPr>
            <w:tcW w:w="3227" w:type="dxa"/>
            <w:gridSpan w:val="2"/>
          </w:tcPr>
          <w:p>
            <w:pPr>
              <w:pStyle w:val="TableParagraph"/>
              <w:spacing w:line="243" w:lineRule="exact"/>
              <w:rPr>
                <w:sz w:val="20"/>
              </w:rPr>
            </w:pPr>
            <w:r>
              <w:rPr>
                <w:sz w:val="20"/>
              </w:rPr>
              <w:t>A</w:t>
            </w:r>
            <w:r>
              <w:rPr>
                <w:spacing w:val="-8"/>
                <w:sz w:val="20"/>
              </w:rPr>
              <w:t> </w:t>
            </w:r>
            <w:r>
              <w:rPr>
                <w:sz w:val="20"/>
              </w:rPr>
              <w:t>résztvevők</w:t>
            </w:r>
            <w:r>
              <w:rPr>
                <w:spacing w:val="-7"/>
                <w:sz w:val="20"/>
              </w:rPr>
              <w:t> </w:t>
            </w:r>
            <w:r>
              <w:rPr>
                <w:spacing w:val="-2"/>
                <w:sz w:val="20"/>
              </w:rPr>
              <w:t>problémamegoldók.</w:t>
            </w:r>
          </w:p>
        </w:tc>
      </w:tr>
      <w:tr>
        <w:trPr>
          <w:trHeight w:val="606" w:hRule="atLeast"/>
        </w:trPr>
        <w:tc>
          <w:tcPr>
            <w:tcW w:w="2838" w:type="dxa"/>
            <w:gridSpan w:val="2"/>
          </w:tcPr>
          <w:p>
            <w:pPr>
              <w:pStyle w:val="TableParagraph"/>
              <w:spacing w:line="243" w:lineRule="exact"/>
              <w:ind w:left="110"/>
              <w:rPr>
                <w:sz w:val="20"/>
              </w:rPr>
            </w:pPr>
            <w:r>
              <w:rPr>
                <w:sz w:val="20"/>
              </w:rPr>
              <w:t>A</w:t>
            </w:r>
            <w:r>
              <w:rPr>
                <w:spacing w:val="-3"/>
                <w:sz w:val="20"/>
              </w:rPr>
              <w:t> </w:t>
            </w:r>
            <w:r>
              <w:rPr>
                <w:sz w:val="20"/>
              </w:rPr>
              <w:t>cél</w:t>
            </w:r>
            <w:r>
              <w:rPr>
                <w:spacing w:val="-3"/>
                <w:sz w:val="20"/>
              </w:rPr>
              <w:t> </w:t>
            </w:r>
            <w:r>
              <w:rPr>
                <w:sz w:val="20"/>
              </w:rPr>
              <w:t>a</w:t>
            </w:r>
            <w:r>
              <w:rPr>
                <w:spacing w:val="-2"/>
                <w:sz w:val="20"/>
              </w:rPr>
              <w:t> megegyezés.</w:t>
            </w:r>
          </w:p>
        </w:tc>
        <w:tc>
          <w:tcPr>
            <w:tcW w:w="2835" w:type="dxa"/>
            <w:gridSpan w:val="2"/>
          </w:tcPr>
          <w:p>
            <w:pPr>
              <w:pStyle w:val="TableParagraph"/>
              <w:spacing w:line="243" w:lineRule="exact"/>
              <w:ind w:left="107"/>
              <w:rPr>
                <w:sz w:val="20"/>
              </w:rPr>
            </w:pPr>
            <w:r>
              <w:rPr>
                <w:sz w:val="20"/>
              </w:rPr>
              <w:t>A</w:t>
            </w:r>
            <w:r>
              <w:rPr>
                <w:spacing w:val="-3"/>
                <w:sz w:val="20"/>
              </w:rPr>
              <w:t> </w:t>
            </w:r>
            <w:r>
              <w:rPr>
                <w:sz w:val="20"/>
              </w:rPr>
              <w:t>cél</w:t>
            </w:r>
            <w:r>
              <w:rPr>
                <w:spacing w:val="-3"/>
                <w:sz w:val="20"/>
              </w:rPr>
              <w:t> </w:t>
            </w:r>
            <w:r>
              <w:rPr>
                <w:sz w:val="20"/>
              </w:rPr>
              <w:t>a</w:t>
            </w:r>
            <w:r>
              <w:rPr>
                <w:spacing w:val="-2"/>
                <w:sz w:val="20"/>
              </w:rPr>
              <w:t> győzelem.</w:t>
            </w:r>
          </w:p>
        </w:tc>
        <w:tc>
          <w:tcPr>
            <w:tcW w:w="3227" w:type="dxa"/>
            <w:gridSpan w:val="2"/>
          </w:tcPr>
          <w:p>
            <w:pPr>
              <w:pStyle w:val="TableParagraph"/>
              <w:rPr>
                <w:sz w:val="20"/>
              </w:rPr>
            </w:pPr>
            <w:r>
              <w:rPr>
                <w:sz w:val="20"/>
              </w:rPr>
              <w:t>A</w:t>
            </w:r>
            <w:r>
              <w:rPr>
                <w:spacing w:val="40"/>
                <w:sz w:val="20"/>
              </w:rPr>
              <w:t> </w:t>
            </w:r>
            <w:r>
              <w:rPr>
                <w:sz w:val="20"/>
              </w:rPr>
              <w:t>cél</w:t>
            </w:r>
            <w:r>
              <w:rPr>
                <w:spacing w:val="40"/>
                <w:sz w:val="20"/>
              </w:rPr>
              <w:t> </w:t>
            </w:r>
            <w:r>
              <w:rPr>
                <w:sz w:val="20"/>
              </w:rPr>
              <w:t>a</w:t>
            </w:r>
            <w:r>
              <w:rPr>
                <w:spacing w:val="40"/>
                <w:sz w:val="20"/>
              </w:rPr>
              <w:t> </w:t>
            </w:r>
            <w:r>
              <w:rPr>
                <w:sz w:val="20"/>
              </w:rPr>
              <w:t>megegyezés,</w:t>
            </w:r>
            <w:r>
              <w:rPr>
                <w:spacing w:val="40"/>
                <w:sz w:val="20"/>
              </w:rPr>
              <w:t> </w:t>
            </w:r>
            <w:r>
              <w:rPr>
                <w:sz w:val="20"/>
              </w:rPr>
              <w:t>hatékony</w:t>
            </w:r>
            <w:r>
              <w:rPr>
                <w:spacing w:val="40"/>
                <w:sz w:val="20"/>
              </w:rPr>
              <w:t> </w:t>
            </w:r>
            <w:r>
              <w:rPr>
                <w:sz w:val="20"/>
              </w:rPr>
              <w:t>és barátságos légkörben.</w:t>
            </w:r>
          </w:p>
        </w:tc>
      </w:tr>
      <w:tr>
        <w:trPr>
          <w:trHeight w:val="609" w:hRule="atLeast"/>
        </w:trPr>
        <w:tc>
          <w:tcPr>
            <w:tcW w:w="2452" w:type="dxa"/>
            <w:tcBorders>
              <w:right w:val="nil"/>
            </w:tcBorders>
          </w:tcPr>
          <w:p>
            <w:pPr>
              <w:pStyle w:val="TableParagraph"/>
              <w:tabs>
                <w:tab w:pos="1791" w:val="left" w:leader="none"/>
              </w:tabs>
              <w:ind w:left="110" w:right="185"/>
              <w:rPr>
                <w:sz w:val="20"/>
              </w:rPr>
            </w:pPr>
            <w:r>
              <w:rPr>
                <w:spacing w:val="-2"/>
                <w:sz w:val="20"/>
              </w:rPr>
              <w:t>Engedményeket</w:t>
            </w:r>
            <w:r>
              <w:rPr>
                <w:sz w:val="20"/>
              </w:rPr>
              <w:tab/>
            </w:r>
            <w:r>
              <w:rPr>
                <w:spacing w:val="-2"/>
                <w:sz w:val="20"/>
              </w:rPr>
              <w:t>teszel </w:t>
            </w:r>
            <w:r>
              <w:rPr>
                <w:sz w:val="20"/>
              </w:rPr>
              <w:t>kapcsolat érdekében.</w:t>
            </w:r>
          </w:p>
        </w:tc>
        <w:tc>
          <w:tcPr>
            <w:tcW w:w="386" w:type="dxa"/>
            <w:tcBorders>
              <w:left w:val="nil"/>
            </w:tcBorders>
          </w:tcPr>
          <w:p>
            <w:pPr>
              <w:pStyle w:val="TableParagraph"/>
              <w:spacing w:line="243" w:lineRule="exact"/>
              <w:ind w:left="83" w:right="1"/>
              <w:jc w:val="center"/>
              <w:rPr>
                <w:sz w:val="20"/>
              </w:rPr>
            </w:pPr>
            <w:r>
              <w:rPr>
                <w:spacing w:val="-10"/>
                <w:sz w:val="20"/>
              </w:rPr>
              <w:t>a</w:t>
            </w:r>
          </w:p>
        </w:tc>
        <w:tc>
          <w:tcPr>
            <w:tcW w:w="2503" w:type="dxa"/>
            <w:tcBorders>
              <w:right w:val="nil"/>
            </w:tcBorders>
          </w:tcPr>
          <w:p>
            <w:pPr>
              <w:pStyle w:val="TableParagraph"/>
              <w:tabs>
                <w:tab w:pos="1644" w:val="left" w:leader="none"/>
              </w:tabs>
              <w:ind w:left="107" w:right="96"/>
              <w:rPr>
                <w:sz w:val="20"/>
              </w:rPr>
            </w:pPr>
            <w:r>
              <w:rPr>
                <w:spacing w:val="-2"/>
                <w:sz w:val="20"/>
              </w:rPr>
              <w:t>Engedményeket</w:t>
            </w:r>
            <w:r>
              <w:rPr>
                <w:sz w:val="20"/>
              </w:rPr>
              <w:tab/>
            </w:r>
            <w:r>
              <w:rPr>
                <w:spacing w:val="-2"/>
                <w:sz w:val="20"/>
              </w:rPr>
              <w:t>követelsz </w:t>
            </w:r>
            <w:r>
              <w:rPr>
                <w:sz w:val="20"/>
              </w:rPr>
              <w:t>kapcsolat feltételeként.</w:t>
            </w:r>
          </w:p>
        </w:tc>
        <w:tc>
          <w:tcPr>
            <w:tcW w:w="332" w:type="dxa"/>
            <w:tcBorders>
              <w:left w:val="nil"/>
            </w:tcBorders>
          </w:tcPr>
          <w:p>
            <w:pPr>
              <w:pStyle w:val="TableParagraph"/>
              <w:spacing w:line="243" w:lineRule="exact"/>
              <w:ind w:left="32"/>
              <w:jc w:val="center"/>
              <w:rPr>
                <w:sz w:val="20"/>
              </w:rPr>
            </w:pPr>
            <w:r>
              <w:rPr>
                <w:spacing w:val="-10"/>
                <w:sz w:val="20"/>
              </w:rPr>
              <w:t>a</w:t>
            </w:r>
          </w:p>
        </w:tc>
        <w:tc>
          <w:tcPr>
            <w:tcW w:w="3227" w:type="dxa"/>
            <w:gridSpan w:val="2"/>
          </w:tcPr>
          <w:p>
            <w:pPr>
              <w:pStyle w:val="TableParagraph"/>
              <w:rPr>
                <w:b/>
                <w:sz w:val="20"/>
              </w:rPr>
            </w:pPr>
            <w:r>
              <w:rPr>
                <w:b/>
                <w:sz w:val="20"/>
              </w:rPr>
              <w:t>Szétválasztod</w:t>
            </w:r>
            <w:r>
              <w:rPr>
                <w:b/>
                <w:spacing w:val="40"/>
                <w:sz w:val="20"/>
              </w:rPr>
              <w:t> </w:t>
            </w:r>
            <w:r>
              <w:rPr>
                <w:b/>
                <w:sz w:val="20"/>
              </w:rPr>
              <w:t>az</w:t>
            </w:r>
            <w:r>
              <w:rPr>
                <w:b/>
                <w:spacing w:val="40"/>
                <w:sz w:val="20"/>
              </w:rPr>
              <w:t> </w:t>
            </w:r>
            <w:r>
              <w:rPr>
                <w:b/>
                <w:sz w:val="20"/>
              </w:rPr>
              <w:t>embereket</w:t>
            </w:r>
            <w:r>
              <w:rPr>
                <w:b/>
                <w:spacing w:val="40"/>
                <w:sz w:val="20"/>
              </w:rPr>
              <w:t> </w:t>
            </w:r>
            <w:r>
              <w:rPr>
                <w:b/>
                <w:sz w:val="20"/>
              </w:rPr>
              <w:t>és</w:t>
            </w:r>
            <w:r>
              <w:rPr>
                <w:b/>
                <w:spacing w:val="40"/>
                <w:sz w:val="20"/>
              </w:rPr>
              <w:t> </w:t>
            </w:r>
            <w:r>
              <w:rPr>
                <w:b/>
                <w:sz w:val="20"/>
              </w:rPr>
              <w:t>a </w:t>
            </w:r>
            <w:r>
              <w:rPr>
                <w:b/>
                <w:spacing w:val="-2"/>
                <w:sz w:val="20"/>
              </w:rPr>
              <w:t>problémát.</w:t>
            </w:r>
          </w:p>
        </w:tc>
      </w:tr>
      <w:tr>
        <w:trPr>
          <w:trHeight w:val="851" w:hRule="atLeast"/>
        </w:trPr>
        <w:tc>
          <w:tcPr>
            <w:tcW w:w="2838" w:type="dxa"/>
            <w:gridSpan w:val="2"/>
          </w:tcPr>
          <w:p>
            <w:pPr>
              <w:pStyle w:val="TableParagraph"/>
              <w:ind w:left="110" w:right="97"/>
              <w:jc w:val="both"/>
              <w:rPr>
                <w:sz w:val="20"/>
              </w:rPr>
            </w:pPr>
            <w:r>
              <w:rPr>
                <w:sz w:val="20"/>
              </w:rPr>
              <w:t>Engedékeny (puha) vagy mind az emberekkel, mind a problémával kapcsolatban.</w:t>
            </w:r>
          </w:p>
        </w:tc>
        <w:tc>
          <w:tcPr>
            <w:tcW w:w="2503" w:type="dxa"/>
            <w:tcBorders>
              <w:right w:val="nil"/>
            </w:tcBorders>
          </w:tcPr>
          <w:p>
            <w:pPr>
              <w:pStyle w:val="TableParagraph"/>
              <w:tabs>
                <w:tab w:pos="1097" w:val="left" w:leader="none"/>
                <w:tab w:pos="1663" w:val="left" w:leader="none"/>
                <w:tab w:pos="1800" w:val="left" w:leader="none"/>
              </w:tabs>
              <w:ind w:left="107" w:right="202"/>
              <w:rPr>
                <w:sz w:val="20"/>
              </w:rPr>
            </w:pPr>
            <w:r>
              <w:rPr>
                <w:spacing w:val="-2"/>
                <w:sz w:val="20"/>
              </w:rPr>
              <w:t>Kemény</w:t>
            </w:r>
            <w:r>
              <w:rPr>
                <w:sz w:val="20"/>
              </w:rPr>
              <w:tab/>
            </w:r>
            <w:r>
              <w:rPr>
                <w:spacing w:val="-4"/>
                <w:sz w:val="20"/>
              </w:rPr>
              <w:t>vagy</w:t>
            </w:r>
            <w:r>
              <w:rPr>
                <w:sz w:val="20"/>
              </w:rPr>
              <w:tab/>
              <w:tab/>
            </w:r>
            <w:r>
              <w:rPr>
                <w:spacing w:val="-4"/>
                <w:sz w:val="20"/>
              </w:rPr>
              <w:t>mind </w:t>
            </w:r>
            <w:r>
              <w:rPr>
                <w:spacing w:val="-2"/>
                <w:sz w:val="20"/>
              </w:rPr>
              <w:t>emberekkel,</w:t>
            </w:r>
            <w:r>
              <w:rPr>
                <w:sz w:val="20"/>
              </w:rPr>
              <w:tab/>
              <w:tab/>
            </w:r>
            <w:r>
              <w:rPr>
                <w:spacing w:val="-4"/>
                <w:sz w:val="20"/>
              </w:rPr>
              <w:t>mind </w:t>
            </w:r>
            <w:r>
              <w:rPr>
                <w:sz w:val="20"/>
              </w:rPr>
              <w:t>problémával</w:t>
            </w:r>
            <w:r>
              <w:rPr>
                <w:spacing w:val="-12"/>
                <w:sz w:val="20"/>
              </w:rPr>
              <w:t> </w:t>
            </w:r>
            <w:r>
              <w:rPr>
                <w:sz w:val="20"/>
              </w:rPr>
              <w:t>kapcsolatban.</w:t>
            </w:r>
          </w:p>
        </w:tc>
        <w:tc>
          <w:tcPr>
            <w:tcW w:w="332" w:type="dxa"/>
            <w:tcBorders>
              <w:left w:val="nil"/>
            </w:tcBorders>
          </w:tcPr>
          <w:p>
            <w:pPr>
              <w:pStyle w:val="TableParagraph"/>
              <w:ind w:left="132" w:right="89" w:hanging="82"/>
              <w:rPr>
                <w:sz w:val="20"/>
              </w:rPr>
            </w:pPr>
            <w:r>
              <w:rPr>
                <w:spacing w:val="-6"/>
                <w:sz w:val="20"/>
              </w:rPr>
              <w:t>az</w:t>
            </w:r>
            <w:r>
              <w:rPr>
                <w:sz w:val="20"/>
              </w:rPr>
              <w:t> </w:t>
            </w:r>
            <w:r>
              <w:rPr>
                <w:spacing w:val="-10"/>
                <w:sz w:val="20"/>
              </w:rPr>
              <w:t>a</w:t>
            </w:r>
          </w:p>
        </w:tc>
        <w:tc>
          <w:tcPr>
            <w:tcW w:w="3227" w:type="dxa"/>
            <w:gridSpan w:val="2"/>
          </w:tcPr>
          <w:p>
            <w:pPr>
              <w:pStyle w:val="TableParagraph"/>
              <w:ind w:right="101"/>
              <w:jc w:val="both"/>
              <w:rPr>
                <w:sz w:val="20"/>
              </w:rPr>
            </w:pPr>
            <w:r>
              <w:rPr>
                <w:sz w:val="20"/>
              </w:rPr>
              <w:t>Elfogadó</w:t>
            </w:r>
            <w:r>
              <w:rPr>
                <w:spacing w:val="-3"/>
                <w:sz w:val="20"/>
              </w:rPr>
              <w:t> </w:t>
            </w:r>
            <w:r>
              <w:rPr>
                <w:sz w:val="20"/>
              </w:rPr>
              <w:t>(puha)</w:t>
            </w:r>
            <w:r>
              <w:rPr>
                <w:spacing w:val="-3"/>
                <w:sz w:val="20"/>
              </w:rPr>
              <w:t> </w:t>
            </w:r>
            <w:r>
              <w:rPr>
                <w:sz w:val="20"/>
              </w:rPr>
              <w:t>vagy</w:t>
            </w:r>
            <w:r>
              <w:rPr>
                <w:spacing w:val="-3"/>
                <w:sz w:val="20"/>
              </w:rPr>
              <w:t> </w:t>
            </w:r>
            <w:r>
              <w:rPr>
                <w:sz w:val="20"/>
              </w:rPr>
              <w:t>az</w:t>
            </w:r>
            <w:r>
              <w:rPr>
                <w:spacing w:val="-3"/>
                <w:sz w:val="20"/>
              </w:rPr>
              <w:t> </w:t>
            </w:r>
            <w:r>
              <w:rPr>
                <w:sz w:val="20"/>
              </w:rPr>
              <w:t>emberekkel, de kemény a problémával </w:t>
            </w:r>
            <w:r>
              <w:rPr>
                <w:spacing w:val="-2"/>
                <w:sz w:val="20"/>
              </w:rPr>
              <w:t>kapcsolatban.</w:t>
            </w:r>
          </w:p>
        </w:tc>
      </w:tr>
      <w:tr>
        <w:trPr>
          <w:trHeight w:val="364" w:hRule="atLeast"/>
        </w:trPr>
        <w:tc>
          <w:tcPr>
            <w:tcW w:w="2838" w:type="dxa"/>
            <w:gridSpan w:val="2"/>
          </w:tcPr>
          <w:p>
            <w:pPr>
              <w:pStyle w:val="TableParagraph"/>
              <w:spacing w:line="243" w:lineRule="exact"/>
              <w:ind w:left="110"/>
              <w:rPr>
                <w:sz w:val="20"/>
              </w:rPr>
            </w:pPr>
            <w:r>
              <w:rPr>
                <w:sz w:val="20"/>
              </w:rPr>
              <w:t>Bízol</w:t>
            </w:r>
            <w:r>
              <w:rPr>
                <w:spacing w:val="-3"/>
                <w:sz w:val="20"/>
              </w:rPr>
              <w:t> </w:t>
            </w:r>
            <w:r>
              <w:rPr>
                <w:sz w:val="20"/>
              </w:rPr>
              <w:t>a</w:t>
            </w:r>
            <w:r>
              <w:rPr>
                <w:spacing w:val="-2"/>
                <w:sz w:val="20"/>
              </w:rPr>
              <w:t> másikban.</w:t>
            </w:r>
          </w:p>
        </w:tc>
        <w:tc>
          <w:tcPr>
            <w:tcW w:w="2835" w:type="dxa"/>
            <w:gridSpan w:val="2"/>
          </w:tcPr>
          <w:p>
            <w:pPr>
              <w:pStyle w:val="TableParagraph"/>
              <w:spacing w:line="243" w:lineRule="exact"/>
              <w:ind w:left="107"/>
              <w:rPr>
                <w:sz w:val="20"/>
              </w:rPr>
            </w:pPr>
            <w:r>
              <w:rPr>
                <w:sz w:val="20"/>
              </w:rPr>
              <w:t>Nem</w:t>
            </w:r>
            <w:r>
              <w:rPr>
                <w:spacing w:val="-6"/>
                <w:sz w:val="20"/>
              </w:rPr>
              <w:t> </w:t>
            </w:r>
            <w:r>
              <w:rPr>
                <w:sz w:val="20"/>
              </w:rPr>
              <w:t>bízol</w:t>
            </w:r>
            <w:r>
              <w:rPr>
                <w:spacing w:val="-6"/>
                <w:sz w:val="20"/>
              </w:rPr>
              <w:t> </w:t>
            </w:r>
            <w:r>
              <w:rPr>
                <w:spacing w:val="-2"/>
                <w:sz w:val="20"/>
              </w:rPr>
              <w:t>másokban.</w:t>
            </w:r>
          </w:p>
        </w:tc>
        <w:tc>
          <w:tcPr>
            <w:tcW w:w="3227" w:type="dxa"/>
            <w:gridSpan w:val="2"/>
          </w:tcPr>
          <w:p>
            <w:pPr>
              <w:pStyle w:val="TableParagraph"/>
              <w:spacing w:line="243" w:lineRule="exact"/>
              <w:rPr>
                <w:sz w:val="20"/>
              </w:rPr>
            </w:pPr>
            <w:r>
              <w:rPr>
                <w:sz w:val="20"/>
              </w:rPr>
              <w:t>Viselkedésed</w:t>
            </w:r>
            <w:r>
              <w:rPr>
                <w:spacing w:val="-8"/>
                <w:sz w:val="20"/>
              </w:rPr>
              <w:t> </w:t>
            </w:r>
            <w:r>
              <w:rPr>
                <w:sz w:val="20"/>
              </w:rPr>
              <w:t>független</w:t>
            </w:r>
            <w:r>
              <w:rPr>
                <w:spacing w:val="-7"/>
                <w:sz w:val="20"/>
              </w:rPr>
              <w:t> </w:t>
            </w:r>
            <w:r>
              <w:rPr>
                <w:sz w:val="20"/>
              </w:rPr>
              <w:t>a</w:t>
            </w:r>
            <w:r>
              <w:rPr>
                <w:spacing w:val="-8"/>
                <w:sz w:val="20"/>
              </w:rPr>
              <w:t> </w:t>
            </w:r>
            <w:r>
              <w:rPr>
                <w:spacing w:val="-2"/>
                <w:sz w:val="20"/>
              </w:rPr>
              <w:t>bizalomtól.</w:t>
            </w:r>
          </w:p>
        </w:tc>
      </w:tr>
      <w:tr>
        <w:trPr>
          <w:trHeight w:val="609" w:hRule="atLeast"/>
        </w:trPr>
        <w:tc>
          <w:tcPr>
            <w:tcW w:w="2838" w:type="dxa"/>
            <w:gridSpan w:val="2"/>
          </w:tcPr>
          <w:p>
            <w:pPr>
              <w:pStyle w:val="TableParagraph"/>
              <w:spacing w:line="243" w:lineRule="exact"/>
              <w:ind w:left="110"/>
              <w:rPr>
                <w:sz w:val="20"/>
              </w:rPr>
            </w:pPr>
            <w:r>
              <w:rPr>
                <w:sz w:val="20"/>
              </w:rPr>
              <w:t>Könnyen</w:t>
            </w:r>
            <w:r>
              <w:rPr>
                <w:spacing w:val="-9"/>
                <w:sz w:val="20"/>
              </w:rPr>
              <w:t> </w:t>
            </w:r>
            <w:r>
              <w:rPr>
                <w:sz w:val="20"/>
              </w:rPr>
              <w:t>váltasz</w:t>
            </w:r>
            <w:r>
              <w:rPr>
                <w:spacing w:val="-9"/>
                <w:sz w:val="20"/>
              </w:rPr>
              <w:t> </w:t>
            </w:r>
            <w:r>
              <w:rPr>
                <w:spacing w:val="-2"/>
                <w:sz w:val="20"/>
              </w:rPr>
              <w:t>pozíciót.</w:t>
            </w:r>
          </w:p>
        </w:tc>
        <w:tc>
          <w:tcPr>
            <w:tcW w:w="2835" w:type="dxa"/>
            <w:gridSpan w:val="2"/>
          </w:tcPr>
          <w:p>
            <w:pPr>
              <w:pStyle w:val="TableParagraph"/>
              <w:spacing w:line="243" w:lineRule="exact"/>
              <w:ind w:left="107"/>
              <w:rPr>
                <w:sz w:val="20"/>
              </w:rPr>
            </w:pPr>
            <w:r>
              <w:rPr>
                <w:sz w:val="20"/>
              </w:rPr>
              <w:t>Beásod</w:t>
            </w:r>
            <w:r>
              <w:rPr>
                <w:spacing w:val="-6"/>
                <w:sz w:val="20"/>
              </w:rPr>
              <w:t> </w:t>
            </w:r>
            <w:r>
              <w:rPr>
                <w:sz w:val="20"/>
              </w:rPr>
              <w:t>magad</w:t>
            </w:r>
            <w:r>
              <w:rPr>
                <w:spacing w:val="-6"/>
                <w:sz w:val="20"/>
              </w:rPr>
              <w:t> </w:t>
            </w:r>
            <w:r>
              <w:rPr>
                <w:sz w:val="20"/>
              </w:rPr>
              <w:t>a</w:t>
            </w:r>
            <w:r>
              <w:rPr>
                <w:spacing w:val="-6"/>
                <w:sz w:val="20"/>
              </w:rPr>
              <w:t> </w:t>
            </w:r>
            <w:r>
              <w:rPr>
                <w:spacing w:val="-2"/>
                <w:sz w:val="20"/>
              </w:rPr>
              <w:t>pozíciójába.</w:t>
            </w:r>
          </w:p>
        </w:tc>
        <w:tc>
          <w:tcPr>
            <w:tcW w:w="3227" w:type="dxa"/>
            <w:gridSpan w:val="2"/>
          </w:tcPr>
          <w:p>
            <w:pPr>
              <w:pStyle w:val="TableParagraph"/>
              <w:rPr>
                <w:b/>
                <w:sz w:val="20"/>
              </w:rPr>
            </w:pPr>
            <w:r>
              <w:rPr>
                <w:b/>
                <w:sz w:val="20"/>
              </w:rPr>
              <w:t>Az</w:t>
            </w:r>
            <w:r>
              <w:rPr>
                <w:b/>
                <w:spacing w:val="40"/>
                <w:sz w:val="20"/>
              </w:rPr>
              <w:t> </w:t>
            </w:r>
            <w:r>
              <w:rPr>
                <w:b/>
                <w:sz w:val="20"/>
              </w:rPr>
              <w:t>érdekekre</w:t>
            </w:r>
            <w:r>
              <w:rPr>
                <w:b/>
                <w:spacing w:val="40"/>
                <w:sz w:val="20"/>
              </w:rPr>
              <w:t> </w:t>
            </w:r>
            <w:r>
              <w:rPr>
                <w:b/>
                <w:sz w:val="20"/>
              </w:rPr>
              <w:t>koncentrálsz,</w:t>
            </w:r>
            <w:r>
              <w:rPr>
                <w:b/>
                <w:spacing w:val="40"/>
                <w:sz w:val="20"/>
              </w:rPr>
              <w:t> </w:t>
            </w:r>
            <w:r>
              <w:rPr>
                <w:b/>
                <w:sz w:val="20"/>
              </w:rPr>
              <w:t>nem</w:t>
            </w:r>
            <w:r>
              <w:rPr>
                <w:b/>
                <w:spacing w:val="40"/>
                <w:sz w:val="20"/>
              </w:rPr>
              <w:t> </w:t>
            </w:r>
            <w:r>
              <w:rPr>
                <w:b/>
                <w:sz w:val="20"/>
              </w:rPr>
              <w:t>a </w:t>
            </w:r>
            <w:r>
              <w:rPr>
                <w:b/>
                <w:spacing w:val="-2"/>
                <w:sz w:val="20"/>
              </w:rPr>
              <w:t>pozíciókra.</w:t>
            </w:r>
          </w:p>
        </w:tc>
      </w:tr>
      <w:tr>
        <w:trPr>
          <w:trHeight w:val="364" w:hRule="atLeast"/>
        </w:trPr>
        <w:tc>
          <w:tcPr>
            <w:tcW w:w="2838" w:type="dxa"/>
            <w:gridSpan w:val="2"/>
          </w:tcPr>
          <w:p>
            <w:pPr>
              <w:pStyle w:val="TableParagraph"/>
              <w:spacing w:line="243" w:lineRule="exact"/>
              <w:ind w:left="110"/>
              <w:rPr>
                <w:sz w:val="20"/>
              </w:rPr>
            </w:pPr>
            <w:r>
              <w:rPr>
                <w:sz w:val="20"/>
              </w:rPr>
              <w:t>Ajánlatokat</w:t>
            </w:r>
            <w:r>
              <w:rPr>
                <w:spacing w:val="-9"/>
                <w:sz w:val="20"/>
              </w:rPr>
              <w:t> </w:t>
            </w:r>
            <w:r>
              <w:rPr>
                <w:spacing w:val="-2"/>
                <w:sz w:val="20"/>
              </w:rPr>
              <w:t>teszel.</w:t>
            </w:r>
          </w:p>
        </w:tc>
        <w:tc>
          <w:tcPr>
            <w:tcW w:w="2835" w:type="dxa"/>
            <w:gridSpan w:val="2"/>
          </w:tcPr>
          <w:p>
            <w:pPr>
              <w:pStyle w:val="TableParagraph"/>
              <w:spacing w:line="243" w:lineRule="exact"/>
              <w:ind w:left="107"/>
              <w:rPr>
                <w:sz w:val="20"/>
              </w:rPr>
            </w:pPr>
            <w:r>
              <w:rPr>
                <w:spacing w:val="-2"/>
                <w:sz w:val="20"/>
              </w:rPr>
              <w:t>Fenyegetésekkel</w:t>
            </w:r>
            <w:r>
              <w:rPr>
                <w:spacing w:val="13"/>
                <w:sz w:val="20"/>
              </w:rPr>
              <w:t> </w:t>
            </w:r>
            <w:r>
              <w:rPr>
                <w:spacing w:val="-2"/>
                <w:sz w:val="20"/>
              </w:rPr>
              <w:t>operálsz.</w:t>
            </w:r>
          </w:p>
        </w:tc>
        <w:tc>
          <w:tcPr>
            <w:tcW w:w="3227" w:type="dxa"/>
            <w:gridSpan w:val="2"/>
          </w:tcPr>
          <w:p>
            <w:pPr>
              <w:pStyle w:val="TableParagraph"/>
              <w:spacing w:line="243" w:lineRule="exact"/>
              <w:rPr>
                <w:sz w:val="20"/>
              </w:rPr>
            </w:pPr>
            <w:r>
              <w:rPr>
                <w:sz w:val="20"/>
              </w:rPr>
              <w:t>Feltárod</w:t>
            </w:r>
            <w:r>
              <w:rPr>
                <w:spacing w:val="-5"/>
                <w:sz w:val="20"/>
              </w:rPr>
              <w:t> </w:t>
            </w:r>
            <w:r>
              <w:rPr>
                <w:sz w:val="20"/>
              </w:rPr>
              <w:t>az</w:t>
            </w:r>
            <w:r>
              <w:rPr>
                <w:spacing w:val="-5"/>
                <w:sz w:val="20"/>
              </w:rPr>
              <w:t> </w:t>
            </w:r>
            <w:r>
              <w:rPr>
                <w:spacing w:val="-2"/>
                <w:sz w:val="20"/>
              </w:rPr>
              <w:t>érdekeket.</w:t>
            </w:r>
          </w:p>
        </w:tc>
      </w:tr>
      <w:tr>
        <w:trPr>
          <w:trHeight w:val="851" w:hRule="atLeast"/>
        </w:trPr>
        <w:tc>
          <w:tcPr>
            <w:tcW w:w="2838" w:type="dxa"/>
            <w:gridSpan w:val="2"/>
          </w:tcPr>
          <w:p>
            <w:pPr>
              <w:pStyle w:val="TableParagraph"/>
              <w:ind w:left="110"/>
              <w:rPr>
                <w:sz w:val="20"/>
              </w:rPr>
            </w:pPr>
            <w:r>
              <w:rPr>
                <w:sz w:val="20"/>
              </w:rPr>
              <w:t>Kimondod,</w:t>
            </w:r>
            <w:r>
              <w:rPr>
                <w:spacing w:val="39"/>
                <w:sz w:val="20"/>
              </w:rPr>
              <w:t> </w:t>
            </w:r>
            <w:r>
              <w:rPr>
                <w:sz w:val="20"/>
              </w:rPr>
              <w:t>hogy</w:t>
            </w:r>
            <w:r>
              <w:rPr>
                <w:spacing w:val="39"/>
                <w:sz w:val="20"/>
              </w:rPr>
              <w:t> </w:t>
            </w:r>
            <w:r>
              <w:rPr>
                <w:sz w:val="20"/>
              </w:rPr>
              <w:t>meddig</w:t>
            </w:r>
            <w:r>
              <w:rPr>
                <w:spacing w:val="38"/>
                <w:sz w:val="20"/>
              </w:rPr>
              <w:t> </w:t>
            </w:r>
            <w:r>
              <w:rPr>
                <w:sz w:val="20"/>
              </w:rPr>
              <w:t>tudsz elmenni a megegyezésben.</w:t>
            </w:r>
          </w:p>
        </w:tc>
        <w:tc>
          <w:tcPr>
            <w:tcW w:w="2835" w:type="dxa"/>
            <w:gridSpan w:val="2"/>
          </w:tcPr>
          <w:p>
            <w:pPr>
              <w:pStyle w:val="TableParagraph"/>
              <w:ind w:left="107" w:right="98"/>
              <w:jc w:val="both"/>
              <w:rPr>
                <w:sz w:val="20"/>
              </w:rPr>
            </w:pPr>
            <w:r>
              <w:rPr>
                <w:sz w:val="20"/>
              </w:rPr>
              <w:t>Homályban tartod, hogy</w:t>
            </w:r>
            <w:r>
              <w:rPr>
                <w:spacing w:val="40"/>
                <w:sz w:val="20"/>
              </w:rPr>
              <w:t> </w:t>
            </w:r>
            <w:r>
              <w:rPr>
                <w:sz w:val="20"/>
              </w:rPr>
              <w:t>meddig tudsz elmenni a </w:t>
            </w:r>
            <w:r>
              <w:rPr>
                <w:spacing w:val="-2"/>
                <w:sz w:val="20"/>
              </w:rPr>
              <w:t>megegyezésben.</w:t>
            </w:r>
          </w:p>
        </w:tc>
        <w:tc>
          <w:tcPr>
            <w:tcW w:w="3227" w:type="dxa"/>
            <w:gridSpan w:val="2"/>
          </w:tcPr>
          <w:p>
            <w:pPr>
              <w:pStyle w:val="TableParagraph"/>
              <w:spacing w:line="243" w:lineRule="exact"/>
              <w:rPr>
                <w:sz w:val="20"/>
              </w:rPr>
            </w:pPr>
            <w:r>
              <w:rPr>
                <w:spacing w:val="-2"/>
                <w:sz w:val="20"/>
              </w:rPr>
              <w:t>Megpróbálsz</w:t>
            </w:r>
            <w:r>
              <w:rPr>
                <w:spacing w:val="6"/>
                <w:sz w:val="20"/>
              </w:rPr>
              <w:t> </w:t>
            </w:r>
            <w:r>
              <w:rPr>
                <w:spacing w:val="-2"/>
                <w:sz w:val="20"/>
              </w:rPr>
              <w:t>nyitott</w:t>
            </w:r>
            <w:r>
              <w:rPr>
                <w:spacing w:val="6"/>
                <w:sz w:val="20"/>
              </w:rPr>
              <w:t> </w:t>
            </w:r>
            <w:r>
              <w:rPr>
                <w:spacing w:val="-2"/>
                <w:sz w:val="20"/>
              </w:rPr>
              <w:t>maradni.</w:t>
            </w:r>
          </w:p>
        </w:tc>
      </w:tr>
      <w:tr>
        <w:trPr>
          <w:trHeight w:val="606" w:hRule="atLeast"/>
        </w:trPr>
        <w:tc>
          <w:tcPr>
            <w:tcW w:w="2838" w:type="dxa"/>
            <w:gridSpan w:val="2"/>
          </w:tcPr>
          <w:p>
            <w:pPr>
              <w:pStyle w:val="TableParagraph"/>
              <w:ind w:left="110" w:right="69"/>
              <w:rPr>
                <w:sz w:val="20"/>
              </w:rPr>
            </w:pPr>
            <w:r>
              <w:rPr>
                <w:sz w:val="20"/>
              </w:rPr>
              <w:t>Egyoldalú áldozatot</w:t>
            </w:r>
            <w:r>
              <w:rPr>
                <w:spacing w:val="-2"/>
                <w:sz w:val="20"/>
              </w:rPr>
              <w:t> </w:t>
            </w:r>
            <w:r>
              <w:rPr>
                <w:sz w:val="20"/>
              </w:rPr>
              <w:t>is</w:t>
            </w:r>
            <w:r>
              <w:rPr>
                <w:spacing w:val="-1"/>
                <w:sz w:val="20"/>
              </w:rPr>
              <w:t> </w:t>
            </w:r>
            <w:r>
              <w:rPr>
                <w:sz w:val="20"/>
              </w:rPr>
              <w:t>elfogadsz a megegyezés érdekében.</w:t>
            </w:r>
          </w:p>
        </w:tc>
        <w:tc>
          <w:tcPr>
            <w:tcW w:w="2503" w:type="dxa"/>
            <w:tcBorders>
              <w:right w:val="nil"/>
            </w:tcBorders>
          </w:tcPr>
          <w:p>
            <w:pPr>
              <w:pStyle w:val="TableParagraph"/>
              <w:ind w:left="107"/>
              <w:rPr>
                <w:sz w:val="20"/>
              </w:rPr>
            </w:pPr>
            <w:r>
              <w:rPr>
                <w:sz w:val="20"/>
              </w:rPr>
              <w:t>Egyoldalú</w:t>
            </w:r>
            <w:r>
              <w:rPr>
                <w:spacing w:val="80"/>
                <w:sz w:val="20"/>
              </w:rPr>
              <w:t> </w:t>
            </w:r>
            <w:r>
              <w:rPr>
                <w:sz w:val="20"/>
              </w:rPr>
              <w:t>előnyöket</w:t>
            </w:r>
            <w:r>
              <w:rPr>
                <w:spacing w:val="80"/>
                <w:sz w:val="20"/>
              </w:rPr>
              <w:t> </w:t>
            </w:r>
            <w:r>
              <w:rPr>
                <w:sz w:val="20"/>
              </w:rPr>
              <w:t>kérsz megegyezésért cserébe.</w:t>
            </w:r>
          </w:p>
        </w:tc>
        <w:tc>
          <w:tcPr>
            <w:tcW w:w="332" w:type="dxa"/>
            <w:tcBorders>
              <w:left w:val="nil"/>
            </w:tcBorders>
          </w:tcPr>
          <w:p>
            <w:pPr>
              <w:pStyle w:val="TableParagraph"/>
              <w:spacing w:line="243" w:lineRule="exact"/>
              <w:ind w:left="32" w:right="7"/>
              <w:jc w:val="center"/>
              <w:rPr>
                <w:sz w:val="20"/>
              </w:rPr>
            </w:pPr>
            <w:r>
              <w:rPr>
                <w:spacing w:val="-10"/>
                <w:sz w:val="20"/>
              </w:rPr>
              <w:t>a</w:t>
            </w:r>
          </w:p>
        </w:tc>
        <w:tc>
          <w:tcPr>
            <w:tcW w:w="3227" w:type="dxa"/>
            <w:gridSpan w:val="2"/>
          </w:tcPr>
          <w:p>
            <w:pPr>
              <w:pStyle w:val="TableParagraph"/>
              <w:rPr>
                <w:b/>
                <w:sz w:val="20"/>
              </w:rPr>
            </w:pPr>
            <w:r>
              <w:rPr>
                <w:b/>
                <w:sz w:val="20"/>
              </w:rPr>
              <w:t>Mindkét</w:t>
            </w:r>
            <w:r>
              <w:rPr>
                <w:b/>
                <w:spacing w:val="32"/>
                <w:sz w:val="20"/>
              </w:rPr>
              <w:t> </w:t>
            </w:r>
            <w:r>
              <w:rPr>
                <w:b/>
                <w:sz w:val="20"/>
              </w:rPr>
              <w:t>oldal</w:t>
            </w:r>
            <w:r>
              <w:rPr>
                <w:b/>
                <w:spacing w:val="30"/>
                <w:sz w:val="20"/>
              </w:rPr>
              <w:t> </w:t>
            </w:r>
            <w:r>
              <w:rPr>
                <w:b/>
                <w:sz w:val="20"/>
              </w:rPr>
              <w:t>számára</w:t>
            </w:r>
            <w:r>
              <w:rPr>
                <w:b/>
                <w:spacing w:val="31"/>
                <w:sz w:val="20"/>
              </w:rPr>
              <w:t> </w:t>
            </w:r>
            <w:r>
              <w:rPr>
                <w:b/>
                <w:sz w:val="20"/>
              </w:rPr>
              <w:t>nyereséges megoldást keresel.</w:t>
            </w:r>
          </w:p>
        </w:tc>
      </w:tr>
      <w:tr>
        <w:trPr>
          <w:trHeight w:val="609" w:hRule="atLeast"/>
        </w:trPr>
        <w:tc>
          <w:tcPr>
            <w:tcW w:w="2838" w:type="dxa"/>
            <w:gridSpan w:val="2"/>
          </w:tcPr>
          <w:p>
            <w:pPr>
              <w:pStyle w:val="TableParagraph"/>
              <w:spacing w:before="1"/>
              <w:ind w:left="110"/>
              <w:rPr>
                <w:sz w:val="20"/>
              </w:rPr>
            </w:pPr>
            <w:r>
              <w:rPr>
                <w:sz w:val="20"/>
              </w:rPr>
              <w:t>Azt</w:t>
            </w:r>
            <w:r>
              <w:rPr>
                <w:spacing w:val="80"/>
                <w:sz w:val="20"/>
              </w:rPr>
              <w:t> </w:t>
            </w:r>
            <w:r>
              <w:rPr>
                <w:sz w:val="20"/>
              </w:rPr>
              <w:t>az</w:t>
            </w:r>
            <w:r>
              <w:rPr>
                <w:spacing w:val="80"/>
                <w:sz w:val="20"/>
              </w:rPr>
              <w:t> </w:t>
            </w:r>
            <w:r>
              <w:rPr>
                <w:sz w:val="20"/>
              </w:rPr>
              <w:t>(egy)</w:t>
            </w:r>
            <w:r>
              <w:rPr>
                <w:spacing w:val="80"/>
                <w:sz w:val="20"/>
              </w:rPr>
              <w:t> </w:t>
            </w:r>
            <w:r>
              <w:rPr>
                <w:sz w:val="20"/>
              </w:rPr>
              <w:t>opciót</w:t>
            </w:r>
            <w:r>
              <w:rPr>
                <w:spacing w:val="80"/>
                <w:sz w:val="20"/>
              </w:rPr>
              <w:t> </w:t>
            </w:r>
            <w:r>
              <w:rPr>
                <w:sz w:val="20"/>
              </w:rPr>
              <w:t>keresed, amit a másik el tud elfogadni.</w:t>
            </w:r>
          </w:p>
        </w:tc>
        <w:tc>
          <w:tcPr>
            <w:tcW w:w="2835" w:type="dxa"/>
            <w:gridSpan w:val="2"/>
          </w:tcPr>
          <w:p>
            <w:pPr>
              <w:pStyle w:val="TableParagraph"/>
              <w:spacing w:before="1"/>
              <w:ind w:left="107"/>
              <w:rPr>
                <w:sz w:val="20"/>
              </w:rPr>
            </w:pPr>
            <w:r>
              <w:rPr>
                <w:sz w:val="20"/>
              </w:rPr>
              <w:t>Azt</w:t>
            </w:r>
            <w:r>
              <w:rPr>
                <w:spacing w:val="80"/>
                <w:sz w:val="20"/>
              </w:rPr>
              <w:t> </w:t>
            </w:r>
            <w:r>
              <w:rPr>
                <w:sz w:val="20"/>
              </w:rPr>
              <w:t>az</w:t>
            </w:r>
            <w:r>
              <w:rPr>
                <w:spacing w:val="80"/>
                <w:sz w:val="20"/>
              </w:rPr>
              <w:t> </w:t>
            </w:r>
            <w:r>
              <w:rPr>
                <w:sz w:val="20"/>
              </w:rPr>
              <w:t>(egy)</w:t>
            </w:r>
            <w:r>
              <w:rPr>
                <w:spacing w:val="80"/>
                <w:sz w:val="20"/>
              </w:rPr>
              <w:t> </w:t>
            </w:r>
            <w:r>
              <w:rPr>
                <w:sz w:val="20"/>
              </w:rPr>
              <w:t>opciót</w:t>
            </w:r>
            <w:r>
              <w:rPr>
                <w:spacing w:val="80"/>
                <w:sz w:val="20"/>
              </w:rPr>
              <w:t> </w:t>
            </w:r>
            <w:r>
              <w:rPr>
                <w:sz w:val="20"/>
              </w:rPr>
              <w:t>keresed, amit te el tudsz elfogadni.</w:t>
            </w:r>
          </w:p>
        </w:tc>
        <w:tc>
          <w:tcPr>
            <w:tcW w:w="3227" w:type="dxa"/>
            <w:gridSpan w:val="2"/>
          </w:tcPr>
          <w:p>
            <w:pPr>
              <w:pStyle w:val="TableParagraph"/>
              <w:spacing w:before="1"/>
              <w:rPr>
                <w:sz w:val="20"/>
              </w:rPr>
            </w:pPr>
            <w:r>
              <w:rPr>
                <w:sz w:val="20"/>
              </w:rPr>
              <w:t>Először</w:t>
            </w:r>
            <w:r>
              <w:rPr>
                <w:spacing w:val="40"/>
                <w:sz w:val="20"/>
              </w:rPr>
              <w:t> </w:t>
            </w:r>
            <w:r>
              <w:rPr>
                <w:sz w:val="20"/>
              </w:rPr>
              <w:t>többféle</w:t>
            </w:r>
            <w:r>
              <w:rPr>
                <w:spacing w:val="40"/>
                <w:sz w:val="20"/>
              </w:rPr>
              <w:t> </w:t>
            </w:r>
            <w:r>
              <w:rPr>
                <w:sz w:val="20"/>
              </w:rPr>
              <w:t>opciót</w:t>
            </w:r>
            <w:r>
              <w:rPr>
                <w:spacing w:val="40"/>
                <w:sz w:val="20"/>
              </w:rPr>
              <w:t> </w:t>
            </w:r>
            <w:r>
              <w:rPr>
                <w:sz w:val="20"/>
              </w:rPr>
              <w:t>térképezel fel, és csak később döntesz.</w:t>
            </w:r>
          </w:p>
        </w:tc>
      </w:tr>
      <w:tr>
        <w:trPr>
          <w:trHeight w:val="609" w:hRule="atLeast"/>
        </w:trPr>
        <w:tc>
          <w:tcPr>
            <w:tcW w:w="2838" w:type="dxa"/>
            <w:gridSpan w:val="2"/>
          </w:tcPr>
          <w:p>
            <w:pPr>
              <w:pStyle w:val="TableParagraph"/>
              <w:spacing w:line="243" w:lineRule="exact"/>
              <w:ind w:left="110"/>
              <w:rPr>
                <w:sz w:val="20"/>
              </w:rPr>
            </w:pPr>
            <w:r>
              <w:rPr>
                <w:sz w:val="20"/>
              </w:rPr>
              <w:t>A</w:t>
            </w:r>
            <w:r>
              <w:rPr>
                <w:spacing w:val="-10"/>
                <w:sz w:val="20"/>
              </w:rPr>
              <w:t> </w:t>
            </w:r>
            <w:r>
              <w:rPr>
                <w:sz w:val="20"/>
              </w:rPr>
              <w:t>megegyezéshez</w:t>
            </w:r>
            <w:r>
              <w:rPr>
                <w:spacing w:val="-9"/>
                <w:sz w:val="20"/>
              </w:rPr>
              <w:t> </w:t>
            </w:r>
            <w:r>
              <w:rPr>
                <w:spacing w:val="-2"/>
                <w:sz w:val="20"/>
              </w:rPr>
              <w:t>ragaszkodsz.</w:t>
            </w:r>
          </w:p>
        </w:tc>
        <w:tc>
          <w:tcPr>
            <w:tcW w:w="2835" w:type="dxa"/>
            <w:gridSpan w:val="2"/>
          </w:tcPr>
          <w:p>
            <w:pPr>
              <w:pStyle w:val="TableParagraph"/>
              <w:spacing w:line="243" w:lineRule="exact"/>
              <w:ind w:left="107"/>
              <w:rPr>
                <w:sz w:val="20"/>
              </w:rPr>
            </w:pPr>
            <w:r>
              <w:rPr>
                <w:sz w:val="20"/>
              </w:rPr>
              <w:t>A</w:t>
            </w:r>
            <w:r>
              <w:rPr>
                <w:spacing w:val="-8"/>
                <w:sz w:val="20"/>
              </w:rPr>
              <w:t> </w:t>
            </w:r>
            <w:r>
              <w:rPr>
                <w:sz w:val="20"/>
              </w:rPr>
              <w:t>pozíciódhoz</w:t>
            </w:r>
            <w:r>
              <w:rPr>
                <w:spacing w:val="-7"/>
                <w:sz w:val="20"/>
              </w:rPr>
              <w:t> </w:t>
            </w:r>
            <w:r>
              <w:rPr>
                <w:spacing w:val="-2"/>
                <w:sz w:val="20"/>
              </w:rPr>
              <w:t>ragaszkodsz.</w:t>
            </w:r>
          </w:p>
        </w:tc>
        <w:tc>
          <w:tcPr>
            <w:tcW w:w="3227" w:type="dxa"/>
            <w:gridSpan w:val="2"/>
          </w:tcPr>
          <w:p>
            <w:pPr>
              <w:pStyle w:val="TableParagraph"/>
              <w:tabs>
                <w:tab w:pos="1160" w:val="left" w:leader="none"/>
                <w:tab w:pos="2133" w:val="left" w:leader="none"/>
              </w:tabs>
              <w:ind w:right="99"/>
              <w:rPr>
                <w:b/>
                <w:sz w:val="20"/>
              </w:rPr>
            </w:pPr>
            <w:r>
              <w:rPr>
                <w:b/>
                <w:spacing w:val="-2"/>
                <w:sz w:val="20"/>
              </w:rPr>
              <w:t>Objektív</w:t>
            </w:r>
            <w:r>
              <w:rPr>
                <w:b/>
                <w:sz w:val="20"/>
              </w:rPr>
              <w:tab/>
            </w:r>
            <w:r>
              <w:rPr>
                <w:b/>
                <w:spacing w:val="-2"/>
                <w:sz w:val="20"/>
              </w:rPr>
              <w:t>döntési</w:t>
            </w:r>
            <w:r>
              <w:rPr>
                <w:b/>
                <w:sz w:val="20"/>
              </w:rPr>
              <w:tab/>
            </w:r>
            <w:r>
              <w:rPr>
                <w:b/>
                <w:spacing w:val="-2"/>
                <w:sz w:val="20"/>
              </w:rPr>
              <w:t>kritériumok </w:t>
            </w:r>
            <w:r>
              <w:rPr>
                <w:b/>
                <w:sz w:val="20"/>
              </w:rPr>
              <w:t>használatához ragaszkodsz.</w:t>
            </w:r>
          </w:p>
        </w:tc>
      </w:tr>
      <w:tr>
        <w:trPr>
          <w:trHeight w:val="851" w:hRule="atLeast"/>
        </w:trPr>
        <w:tc>
          <w:tcPr>
            <w:tcW w:w="2452" w:type="dxa"/>
            <w:tcBorders>
              <w:right w:val="nil"/>
            </w:tcBorders>
          </w:tcPr>
          <w:p>
            <w:pPr>
              <w:pStyle w:val="TableParagraph"/>
              <w:tabs>
                <w:tab w:pos="1567" w:val="left" w:leader="none"/>
              </w:tabs>
              <w:ind w:left="110" w:right="172"/>
              <w:rPr>
                <w:sz w:val="20"/>
              </w:rPr>
            </w:pPr>
            <w:r>
              <w:rPr>
                <w:spacing w:val="-2"/>
                <w:sz w:val="20"/>
              </w:rPr>
              <w:t>Megpróbálod</w:t>
            </w:r>
            <w:r>
              <w:rPr>
                <w:sz w:val="20"/>
              </w:rPr>
              <w:tab/>
            </w:r>
            <w:r>
              <w:rPr>
                <w:spacing w:val="-2"/>
                <w:sz w:val="20"/>
              </w:rPr>
              <w:t>elkerülni küzdelmet/harcot.</w:t>
            </w:r>
          </w:p>
        </w:tc>
        <w:tc>
          <w:tcPr>
            <w:tcW w:w="386" w:type="dxa"/>
            <w:tcBorders>
              <w:left w:val="nil"/>
            </w:tcBorders>
          </w:tcPr>
          <w:p>
            <w:pPr>
              <w:pStyle w:val="TableParagraph"/>
              <w:spacing w:line="243" w:lineRule="exact"/>
              <w:ind w:left="83"/>
              <w:jc w:val="center"/>
              <w:rPr>
                <w:sz w:val="20"/>
              </w:rPr>
            </w:pPr>
            <w:r>
              <w:rPr>
                <w:spacing w:val="-10"/>
                <w:sz w:val="20"/>
              </w:rPr>
              <w:t>a</w:t>
            </w:r>
          </w:p>
        </w:tc>
        <w:tc>
          <w:tcPr>
            <w:tcW w:w="2835" w:type="dxa"/>
            <w:gridSpan w:val="2"/>
          </w:tcPr>
          <w:p>
            <w:pPr>
              <w:pStyle w:val="TableParagraph"/>
              <w:spacing w:line="243" w:lineRule="exact"/>
              <w:ind w:left="107"/>
              <w:rPr>
                <w:sz w:val="20"/>
              </w:rPr>
            </w:pPr>
            <w:r>
              <w:rPr>
                <w:sz w:val="20"/>
              </w:rPr>
              <w:t>Meg</w:t>
            </w:r>
            <w:r>
              <w:rPr>
                <w:spacing w:val="-6"/>
                <w:sz w:val="20"/>
              </w:rPr>
              <w:t> </w:t>
            </w:r>
            <w:r>
              <w:rPr>
                <w:sz w:val="20"/>
              </w:rPr>
              <w:t>akarod</w:t>
            </w:r>
            <w:r>
              <w:rPr>
                <w:spacing w:val="-4"/>
                <w:sz w:val="20"/>
              </w:rPr>
              <w:t> </w:t>
            </w:r>
            <w:r>
              <w:rPr>
                <w:sz w:val="20"/>
              </w:rPr>
              <w:t>nyerni</w:t>
            </w:r>
            <w:r>
              <w:rPr>
                <w:spacing w:val="-5"/>
                <w:sz w:val="20"/>
              </w:rPr>
              <w:t> </w:t>
            </w:r>
            <w:r>
              <w:rPr>
                <w:sz w:val="20"/>
              </w:rPr>
              <w:t>a</w:t>
            </w:r>
            <w:r>
              <w:rPr>
                <w:spacing w:val="-5"/>
                <w:sz w:val="20"/>
              </w:rPr>
              <w:t> </w:t>
            </w:r>
            <w:r>
              <w:rPr>
                <w:spacing w:val="-2"/>
                <w:sz w:val="20"/>
              </w:rPr>
              <w:t>harcot.</w:t>
            </w:r>
          </w:p>
        </w:tc>
        <w:tc>
          <w:tcPr>
            <w:tcW w:w="3227" w:type="dxa"/>
            <w:gridSpan w:val="2"/>
          </w:tcPr>
          <w:p>
            <w:pPr>
              <w:pStyle w:val="TableParagraph"/>
              <w:ind w:right="101"/>
              <w:jc w:val="both"/>
              <w:rPr>
                <w:sz w:val="20"/>
              </w:rPr>
            </w:pPr>
            <w:r>
              <w:rPr>
                <w:sz w:val="20"/>
              </w:rPr>
              <w:t>Harc helyett megpróbálsz korrekt (a kritériumoknak és sztenderdeknek) megfelelő eredményt elérni.</w:t>
            </w:r>
          </w:p>
        </w:tc>
      </w:tr>
      <w:tr>
        <w:trPr>
          <w:trHeight w:val="854" w:hRule="atLeast"/>
        </w:trPr>
        <w:tc>
          <w:tcPr>
            <w:tcW w:w="2838" w:type="dxa"/>
            <w:gridSpan w:val="2"/>
          </w:tcPr>
          <w:p>
            <w:pPr>
              <w:pStyle w:val="TableParagraph"/>
              <w:spacing w:line="243" w:lineRule="exact"/>
              <w:ind w:left="110"/>
              <w:rPr>
                <w:sz w:val="20"/>
              </w:rPr>
            </w:pPr>
            <w:r>
              <w:rPr>
                <w:sz w:val="20"/>
              </w:rPr>
              <w:t>Engedsz</w:t>
            </w:r>
            <w:r>
              <w:rPr>
                <w:spacing w:val="-6"/>
                <w:sz w:val="20"/>
              </w:rPr>
              <w:t> </w:t>
            </w:r>
            <w:r>
              <w:rPr>
                <w:sz w:val="20"/>
              </w:rPr>
              <w:t>a</w:t>
            </w:r>
            <w:r>
              <w:rPr>
                <w:spacing w:val="-5"/>
                <w:sz w:val="20"/>
              </w:rPr>
              <w:t> </w:t>
            </w:r>
            <w:r>
              <w:rPr>
                <w:spacing w:val="-2"/>
                <w:sz w:val="20"/>
              </w:rPr>
              <w:t>nyomásnak.</w:t>
            </w:r>
          </w:p>
        </w:tc>
        <w:tc>
          <w:tcPr>
            <w:tcW w:w="2835" w:type="dxa"/>
            <w:gridSpan w:val="2"/>
          </w:tcPr>
          <w:p>
            <w:pPr>
              <w:pStyle w:val="TableParagraph"/>
              <w:spacing w:line="243" w:lineRule="exact"/>
              <w:ind w:left="107"/>
              <w:rPr>
                <w:sz w:val="20"/>
              </w:rPr>
            </w:pPr>
            <w:r>
              <w:rPr>
                <w:sz w:val="20"/>
              </w:rPr>
              <w:t>Nyomást</w:t>
            </w:r>
            <w:r>
              <w:rPr>
                <w:spacing w:val="-10"/>
                <w:sz w:val="20"/>
              </w:rPr>
              <w:t> </w:t>
            </w:r>
            <w:r>
              <w:rPr>
                <w:spacing w:val="-2"/>
                <w:sz w:val="20"/>
              </w:rPr>
              <w:t>gyakorolsz.</w:t>
            </w:r>
          </w:p>
        </w:tc>
        <w:tc>
          <w:tcPr>
            <w:tcW w:w="3227" w:type="dxa"/>
            <w:gridSpan w:val="2"/>
          </w:tcPr>
          <w:p>
            <w:pPr>
              <w:pStyle w:val="TableParagraph"/>
              <w:ind w:right="100"/>
              <w:jc w:val="both"/>
              <w:rPr>
                <w:sz w:val="20"/>
              </w:rPr>
            </w:pPr>
            <w:r>
              <w:rPr>
                <w:sz w:val="20"/>
              </w:rPr>
              <w:t>Érvelsz és nyitott vagy az érvekre, az elveknek engedsz és nem a </w:t>
            </w:r>
            <w:r>
              <w:rPr>
                <w:spacing w:val="-2"/>
                <w:sz w:val="20"/>
              </w:rPr>
              <w:t>nyomásnak.</w:t>
            </w:r>
          </w:p>
        </w:tc>
      </w:tr>
    </w:tbl>
    <w:p>
      <w:pPr>
        <w:pStyle w:val="BodyText"/>
        <w:rPr>
          <w:b/>
        </w:rPr>
      </w:pPr>
    </w:p>
    <w:p>
      <w:pPr>
        <w:pStyle w:val="BodyText"/>
        <w:spacing w:before="68"/>
        <w:rPr>
          <w:b/>
        </w:rPr>
      </w:pPr>
    </w:p>
    <w:p>
      <w:pPr>
        <w:pStyle w:val="BodyText"/>
        <w:spacing w:line="360" w:lineRule="auto"/>
        <w:ind w:left="116"/>
      </w:pPr>
      <w:r>
        <w:rPr/>
        <w:t>A</w:t>
      </w:r>
      <w:r>
        <w:rPr>
          <w:spacing w:val="35"/>
        </w:rPr>
        <w:t> </w:t>
      </w:r>
      <w:r>
        <w:rPr/>
        <w:t>megelőző</w:t>
      </w:r>
      <w:r>
        <w:rPr>
          <w:spacing w:val="35"/>
        </w:rPr>
        <w:t> </w:t>
      </w:r>
      <w:r>
        <w:rPr/>
        <w:t>magyarázat</w:t>
      </w:r>
      <w:r>
        <w:rPr>
          <w:spacing w:val="34"/>
        </w:rPr>
        <w:t> </w:t>
      </w:r>
      <w:r>
        <w:rPr/>
        <w:t>alapján</w:t>
      </w:r>
      <w:r>
        <w:rPr>
          <w:spacing w:val="36"/>
        </w:rPr>
        <w:t> </w:t>
      </w:r>
      <w:r>
        <w:rPr/>
        <w:t>a</w:t>
      </w:r>
      <w:r>
        <w:rPr>
          <w:spacing w:val="35"/>
        </w:rPr>
        <w:t> </w:t>
      </w:r>
      <w:r>
        <w:rPr/>
        <w:t>tábla</w:t>
      </w:r>
      <w:r>
        <w:rPr>
          <w:spacing w:val="35"/>
        </w:rPr>
        <w:t> </w:t>
      </w:r>
      <w:r>
        <w:rPr/>
        <w:t>logikája</w:t>
      </w:r>
      <w:r>
        <w:rPr>
          <w:spacing w:val="33"/>
        </w:rPr>
        <w:t> </w:t>
      </w:r>
      <w:r>
        <w:rPr/>
        <w:t>biztos</w:t>
      </w:r>
      <w:r>
        <w:rPr>
          <w:spacing w:val="34"/>
        </w:rPr>
        <w:t> </w:t>
      </w:r>
      <w:r>
        <w:rPr/>
        <w:t>érthető.</w:t>
      </w:r>
      <w:r>
        <w:rPr>
          <w:spacing w:val="33"/>
        </w:rPr>
        <w:t> </w:t>
      </w:r>
      <w:r>
        <w:rPr/>
        <w:t>Mégis</w:t>
      </w:r>
      <w:r>
        <w:rPr>
          <w:spacing w:val="36"/>
        </w:rPr>
        <w:t> </w:t>
      </w:r>
      <w:r>
        <w:rPr/>
        <w:t>felmerülhet</w:t>
      </w:r>
      <w:r>
        <w:rPr>
          <w:spacing w:val="36"/>
        </w:rPr>
        <w:t> </w:t>
      </w:r>
      <w:r>
        <w:rPr/>
        <w:t>a</w:t>
      </w:r>
      <w:r>
        <w:rPr>
          <w:spacing w:val="33"/>
        </w:rPr>
        <w:t> </w:t>
      </w:r>
      <w:r>
        <w:rPr/>
        <w:t>kérdés:</w:t>
      </w:r>
      <w:r>
        <w:rPr>
          <w:spacing w:val="35"/>
        </w:rPr>
        <w:t> </w:t>
      </w:r>
      <w:r>
        <w:rPr/>
        <w:t>nem széplelkű</w:t>
      </w:r>
      <w:r>
        <w:rPr>
          <w:spacing w:val="29"/>
        </w:rPr>
        <w:t> </w:t>
      </w:r>
      <w:r>
        <w:rPr/>
        <w:t>filantrópia</w:t>
      </w:r>
      <w:r>
        <w:rPr>
          <w:spacing w:val="31"/>
        </w:rPr>
        <w:t> </w:t>
      </w:r>
      <w:r>
        <w:rPr/>
        <w:t>diktálja-e</w:t>
      </w:r>
      <w:r>
        <w:rPr>
          <w:spacing w:val="32"/>
        </w:rPr>
        <w:t> </w:t>
      </w:r>
      <w:r>
        <w:rPr/>
        <w:t>ezeket</w:t>
      </w:r>
      <w:r>
        <w:rPr>
          <w:spacing w:val="30"/>
        </w:rPr>
        <w:t> </w:t>
      </w:r>
      <w:r>
        <w:rPr/>
        <w:t>a</w:t>
      </w:r>
      <w:r>
        <w:rPr>
          <w:spacing w:val="31"/>
        </w:rPr>
        <w:t> </w:t>
      </w:r>
      <w:r>
        <w:rPr/>
        <w:t>gondolatokat?</w:t>
      </w:r>
      <w:r>
        <w:rPr>
          <w:spacing w:val="32"/>
        </w:rPr>
        <w:t> </w:t>
      </w:r>
      <w:r>
        <w:rPr/>
        <w:t>Nem</w:t>
      </w:r>
      <w:r>
        <w:rPr>
          <w:spacing w:val="32"/>
        </w:rPr>
        <w:t> </w:t>
      </w:r>
      <w:r>
        <w:rPr/>
        <w:t>irreális</w:t>
      </w:r>
      <w:r>
        <w:rPr>
          <w:spacing w:val="35"/>
        </w:rPr>
        <w:t> </w:t>
      </w:r>
      <w:r>
        <w:rPr/>
        <w:t>elvárás-e</w:t>
      </w:r>
      <w:r>
        <w:rPr>
          <w:spacing w:val="30"/>
        </w:rPr>
        <w:t> </w:t>
      </w:r>
      <w:r>
        <w:rPr/>
        <w:t>napjainkban</w:t>
      </w:r>
      <w:r>
        <w:rPr>
          <w:spacing w:val="32"/>
        </w:rPr>
        <w:t> </w:t>
      </w:r>
      <w:r>
        <w:rPr>
          <w:spacing w:val="-2"/>
        </w:rPr>
        <w:t>egymás</w:t>
      </w:r>
    </w:p>
    <w:p>
      <w:pPr>
        <w:pStyle w:val="BodyText"/>
        <w:spacing w:before="4"/>
        <w:rPr>
          <w:sz w:val="14"/>
        </w:rPr>
      </w:pPr>
      <w:r>
        <w:rPr/>
        <mc:AlternateContent>
          <mc:Choice Requires="wps">
            <w:drawing>
              <wp:anchor distT="0" distB="0" distL="0" distR="0" allowOverlap="1" layoutInCell="1" locked="0" behindDoc="1" simplePos="0" relativeHeight="487592448">
                <wp:simplePos x="0" y="0"/>
                <wp:positionH relativeFrom="page">
                  <wp:posOffset>899464</wp:posOffset>
                </wp:positionH>
                <wp:positionV relativeFrom="paragraph">
                  <wp:posOffset>126508</wp:posOffset>
                </wp:positionV>
                <wp:extent cx="1829435" cy="9525"/>
                <wp:effectExtent l="0" t="0" r="0" b="0"/>
                <wp:wrapTopAndBottom/>
                <wp:docPr id="18" name="Graphic 18"/>
                <wp:cNvGraphicFramePr>
                  <a:graphicFrameLocks/>
                </wp:cNvGraphicFramePr>
                <a:graphic>
                  <a:graphicData uri="http://schemas.microsoft.com/office/word/2010/wordprocessingShape">
                    <wps:wsp>
                      <wps:cNvPr id="18" name="Graphic 18"/>
                      <wps:cNvSpPr/>
                      <wps:spPr>
                        <a:xfrm>
                          <a:off x="0" y="0"/>
                          <a:ext cx="1829435" cy="9525"/>
                        </a:xfrm>
                        <a:custGeom>
                          <a:avLst/>
                          <a:gdLst/>
                          <a:ahLst/>
                          <a:cxnLst/>
                          <a:rect l="l" t="t" r="r" b="b"/>
                          <a:pathLst>
                            <a:path w="1829435" h="9525">
                              <a:moveTo>
                                <a:pt x="1829053" y="0"/>
                              </a:moveTo>
                              <a:lnTo>
                                <a:pt x="0" y="0"/>
                              </a:lnTo>
                              <a:lnTo>
                                <a:pt x="0" y="9144"/>
                              </a:lnTo>
                              <a:lnTo>
                                <a:pt x="1829053" y="9144"/>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823997pt;margin-top:9.961298pt;width:144.020pt;height:.72003pt;mso-position-horizontal-relative:page;mso-position-vertical-relative:paragraph;z-index:-15724032;mso-wrap-distance-left:0;mso-wrap-distance-right:0" id="docshape17" filled="true" fillcolor="#000000" stroked="false">
                <v:fill type="solid"/>
                <w10:wrap type="topAndBottom"/>
              </v:rect>
            </w:pict>
          </mc:Fallback>
        </mc:AlternateContent>
      </w:r>
    </w:p>
    <w:p>
      <w:pPr>
        <w:spacing w:before="102"/>
        <w:ind w:left="116" w:right="247" w:firstLine="0"/>
        <w:jc w:val="left"/>
        <w:rPr>
          <w:sz w:val="20"/>
        </w:rPr>
      </w:pPr>
      <w:r>
        <w:rPr>
          <w:sz w:val="20"/>
          <w:vertAlign w:val="superscript"/>
        </w:rPr>
        <w:t>12</w:t>
      </w:r>
      <w:r>
        <w:rPr>
          <w:spacing w:val="-4"/>
          <w:sz w:val="20"/>
          <w:vertAlign w:val="baseline"/>
        </w:rPr>
        <w:t> </w:t>
      </w:r>
      <w:r>
        <w:rPr>
          <w:sz w:val="20"/>
          <w:vertAlign w:val="baseline"/>
        </w:rPr>
        <w:t>Fischer,</w:t>
      </w:r>
      <w:r>
        <w:rPr>
          <w:spacing w:val="-3"/>
          <w:sz w:val="20"/>
          <w:vertAlign w:val="baseline"/>
        </w:rPr>
        <w:t> </w:t>
      </w:r>
      <w:r>
        <w:rPr>
          <w:sz w:val="20"/>
          <w:vertAlign w:val="baseline"/>
        </w:rPr>
        <w:t>R.–Ury,</w:t>
      </w:r>
      <w:r>
        <w:rPr>
          <w:spacing w:val="-3"/>
          <w:sz w:val="20"/>
          <w:vertAlign w:val="baseline"/>
        </w:rPr>
        <w:t> </w:t>
      </w:r>
      <w:r>
        <w:rPr>
          <w:sz w:val="20"/>
          <w:vertAlign w:val="baseline"/>
        </w:rPr>
        <w:t>W.–Patton,</w:t>
      </w:r>
      <w:r>
        <w:rPr>
          <w:spacing w:val="-3"/>
          <w:sz w:val="20"/>
          <w:vertAlign w:val="baseline"/>
        </w:rPr>
        <w:t> </w:t>
      </w:r>
      <w:r>
        <w:rPr>
          <w:sz w:val="20"/>
          <w:vertAlign w:val="baseline"/>
        </w:rPr>
        <w:t>B.:</w:t>
      </w:r>
      <w:r>
        <w:rPr>
          <w:spacing w:val="-4"/>
          <w:sz w:val="20"/>
          <w:vertAlign w:val="baseline"/>
        </w:rPr>
        <w:t> </w:t>
      </w:r>
      <w:r>
        <w:rPr>
          <w:sz w:val="20"/>
          <w:vertAlign w:val="baseline"/>
        </w:rPr>
        <w:t>Getting</w:t>
      </w:r>
      <w:r>
        <w:rPr>
          <w:spacing w:val="-4"/>
          <w:sz w:val="20"/>
          <w:vertAlign w:val="baseline"/>
        </w:rPr>
        <w:t> </w:t>
      </w:r>
      <w:r>
        <w:rPr>
          <w:sz w:val="20"/>
          <w:vertAlign w:val="baseline"/>
        </w:rPr>
        <w:t>to</w:t>
      </w:r>
      <w:r>
        <w:rPr>
          <w:spacing w:val="-3"/>
          <w:sz w:val="20"/>
          <w:vertAlign w:val="baseline"/>
        </w:rPr>
        <w:t> </w:t>
      </w:r>
      <w:r>
        <w:rPr>
          <w:sz w:val="20"/>
          <w:vertAlign w:val="baseline"/>
        </w:rPr>
        <w:t>Yes,</w:t>
      </w:r>
      <w:r>
        <w:rPr>
          <w:spacing w:val="-3"/>
          <w:sz w:val="20"/>
          <w:vertAlign w:val="baseline"/>
        </w:rPr>
        <w:t> </w:t>
      </w:r>
      <w:r>
        <w:rPr>
          <w:sz w:val="20"/>
          <w:vertAlign w:val="baseline"/>
        </w:rPr>
        <w:t>Negotiating</w:t>
      </w:r>
      <w:r>
        <w:rPr>
          <w:spacing w:val="-4"/>
          <w:sz w:val="20"/>
          <w:vertAlign w:val="baseline"/>
        </w:rPr>
        <w:t> </w:t>
      </w:r>
      <w:r>
        <w:rPr>
          <w:sz w:val="20"/>
          <w:vertAlign w:val="baseline"/>
        </w:rPr>
        <w:t>Agreement</w:t>
      </w:r>
      <w:r>
        <w:rPr>
          <w:spacing w:val="-3"/>
          <w:sz w:val="20"/>
          <w:vertAlign w:val="baseline"/>
        </w:rPr>
        <w:t> </w:t>
      </w:r>
      <w:r>
        <w:rPr>
          <w:sz w:val="20"/>
          <w:vertAlign w:val="baseline"/>
        </w:rPr>
        <w:t>Without</w:t>
      </w:r>
      <w:r>
        <w:rPr>
          <w:spacing w:val="-3"/>
          <w:sz w:val="20"/>
          <w:vertAlign w:val="baseline"/>
        </w:rPr>
        <w:t> </w:t>
      </w:r>
      <w:r>
        <w:rPr>
          <w:sz w:val="20"/>
          <w:vertAlign w:val="baseline"/>
        </w:rPr>
        <w:t>Giving</w:t>
      </w:r>
      <w:r>
        <w:rPr>
          <w:spacing w:val="-4"/>
          <w:sz w:val="20"/>
          <w:vertAlign w:val="baseline"/>
        </w:rPr>
        <w:t> </w:t>
      </w:r>
      <w:r>
        <w:rPr>
          <w:sz w:val="20"/>
          <w:vertAlign w:val="baseline"/>
        </w:rPr>
        <w:t>In.</w:t>
      </w:r>
      <w:r>
        <w:rPr>
          <w:spacing w:val="-1"/>
          <w:sz w:val="20"/>
          <w:vertAlign w:val="baseline"/>
        </w:rPr>
        <w:t> </w:t>
      </w:r>
      <w:r>
        <w:rPr>
          <w:sz w:val="20"/>
          <w:vertAlign w:val="baseline"/>
        </w:rPr>
        <w:t>2nd</w:t>
      </w:r>
      <w:r>
        <w:rPr>
          <w:spacing w:val="-3"/>
          <w:sz w:val="20"/>
          <w:vertAlign w:val="baseline"/>
        </w:rPr>
        <w:t> </w:t>
      </w:r>
      <w:r>
        <w:rPr>
          <w:sz w:val="20"/>
          <w:vertAlign w:val="baseline"/>
        </w:rPr>
        <w:t>Edition. Penguin, 1991. c. könyv alapján</w:t>
      </w:r>
      <w:r>
        <w:rPr>
          <w:spacing w:val="40"/>
          <w:sz w:val="20"/>
          <w:vertAlign w:val="baseline"/>
        </w:rPr>
        <w:t> </w:t>
      </w:r>
      <w:r>
        <w:rPr>
          <w:sz w:val="20"/>
          <w:vertAlign w:val="baseline"/>
        </w:rPr>
        <w:t>(13. oldal)</w:t>
      </w:r>
    </w:p>
    <w:p>
      <w:pPr>
        <w:spacing w:after="0"/>
        <w:jc w:val="left"/>
        <w:rPr>
          <w:sz w:val="20"/>
        </w:rPr>
        <w:sectPr>
          <w:pgSz w:w="11910" w:h="16840"/>
          <w:pgMar w:header="0" w:footer="1002" w:top="1360" w:bottom="1200" w:left="1300" w:right="1200"/>
        </w:sectPr>
      </w:pPr>
    </w:p>
    <w:p>
      <w:pPr>
        <w:pStyle w:val="BodyText"/>
        <w:spacing w:line="360" w:lineRule="auto" w:before="34"/>
        <w:ind w:left="116" w:right="212"/>
        <w:jc w:val="both"/>
      </w:pPr>
      <w:r>
        <w:rPr/>
        <w:t>érdekeinek ilyen mérvű tiszteletben tartása egymással vitában álló felek esetén? Ha pontosan értjük</w:t>
      </w:r>
      <w:r>
        <w:rPr>
          <w:spacing w:val="40"/>
        </w:rPr>
        <w:t> </w:t>
      </w:r>
      <w:r>
        <w:rPr/>
        <w:t>a folyamatot, akkor azt is megértjük, hogy nem. Azért nem, mert a lényeg nem a jóakaratú együttműködés, hanem az, hogy mindkét félnek érdekében áll megtalálni a legjobb megoldást. Mivel általában a preferenciák erőssége különböző a tárgyalás elemeivel kapcsolatban, ha kiderül, hogy kinek</w:t>
      </w:r>
      <w:r>
        <w:rPr>
          <w:spacing w:val="-2"/>
        </w:rPr>
        <w:t> </w:t>
      </w:r>
      <w:r>
        <w:rPr/>
        <w:t>mi a fontosabb, és a felek azt</w:t>
      </w:r>
      <w:r>
        <w:rPr>
          <w:spacing w:val="-2"/>
        </w:rPr>
        <w:t> </w:t>
      </w:r>
      <w:r>
        <w:rPr/>
        <w:t>kapják, ami nekik a</w:t>
      </w:r>
      <w:r>
        <w:rPr>
          <w:spacing w:val="-2"/>
        </w:rPr>
        <w:t> </w:t>
      </w:r>
      <w:r>
        <w:rPr/>
        <w:t>legfontosabb, akkor többletérték</w:t>
      </w:r>
      <w:r>
        <w:rPr>
          <w:spacing w:val="-2"/>
        </w:rPr>
        <w:t> </w:t>
      </w:r>
      <w:r>
        <w:rPr/>
        <w:t>teremtődött a tárgyalás során. Ezt nevezzük értékteremtésnek. Ezért a többletértékért kooperálunk.</w:t>
      </w:r>
    </w:p>
    <w:p>
      <w:pPr>
        <w:spacing w:after="0" w:line="360" w:lineRule="auto"/>
        <w:jc w:val="both"/>
        <w:sectPr>
          <w:pgSz w:w="11910" w:h="16840"/>
          <w:pgMar w:header="0" w:footer="1002" w:top="1360" w:bottom="1200" w:left="1300" w:right="1200"/>
        </w:sectPr>
      </w:pPr>
    </w:p>
    <w:p>
      <w:pPr>
        <w:pStyle w:val="Heading2"/>
        <w:numPr>
          <w:ilvl w:val="1"/>
          <w:numId w:val="1"/>
        </w:numPr>
        <w:tabs>
          <w:tab w:pos="1916" w:val="left" w:leader="none"/>
        </w:tabs>
        <w:spacing w:line="240" w:lineRule="auto" w:before="75" w:after="0"/>
        <w:ind w:left="1916" w:right="0" w:hanging="720"/>
        <w:jc w:val="left"/>
      </w:pPr>
      <w:r>
        <w:rPr>
          <w:color w:val="4F81BC"/>
        </w:rPr>
        <w:t>További</w:t>
      </w:r>
      <w:r>
        <w:rPr>
          <w:color w:val="4F81BC"/>
          <w:spacing w:val="-14"/>
        </w:rPr>
        <w:t> </w:t>
      </w:r>
      <w:r>
        <w:rPr>
          <w:color w:val="4F81BC"/>
        </w:rPr>
        <w:t>tárgyalási</w:t>
      </w:r>
      <w:r>
        <w:rPr>
          <w:color w:val="4F81BC"/>
          <w:spacing w:val="-13"/>
        </w:rPr>
        <w:t> </w:t>
      </w:r>
      <w:r>
        <w:rPr>
          <w:color w:val="4F81BC"/>
          <w:spacing w:val="-2"/>
        </w:rPr>
        <w:t>stratégiák</w:t>
      </w:r>
    </w:p>
    <w:p>
      <w:pPr>
        <w:pStyle w:val="BodyText"/>
        <w:rPr>
          <w:rFonts w:ascii="Cambria"/>
          <w:b/>
          <w:sz w:val="26"/>
        </w:rPr>
      </w:pPr>
    </w:p>
    <w:p>
      <w:pPr>
        <w:pStyle w:val="BodyText"/>
        <w:spacing w:before="146"/>
        <w:rPr>
          <w:rFonts w:ascii="Cambria"/>
          <w:b/>
          <w:sz w:val="26"/>
        </w:rPr>
      </w:pPr>
    </w:p>
    <w:p>
      <w:pPr>
        <w:pStyle w:val="BodyText"/>
        <w:spacing w:line="360" w:lineRule="auto"/>
        <w:ind w:left="116" w:right="209"/>
        <w:jc w:val="both"/>
      </w:pPr>
      <w:r>
        <w:rPr/>
        <w:t>Bármennyire is szimpatikus az együttműködő megközelítés, egydimenziós elosztási helyzetekben, vagyis olyan helyzetekben, amikor egyetlen dolog elosztásáról van szó, a korábban definiált pozíció- alapú, felosztó stratégia a racionális tárgyalási stratégia. Azt, hogy mennyire kemény, vagy puha stratégiával tárgyalunk az dönti el, hogy milyen áldozatokat vagyunk hajlandóak hozni a többiekhez fűződő kapcsolatunkban a nagyobb előny megkaparintásáért.</w:t>
      </w:r>
    </w:p>
    <w:p>
      <w:pPr>
        <w:pStyle w:val="BodyText"/>
        <w:spacing w:line="360" w:lineRule="auto" w:before="201"/>
        <w:ind w:left="116" w:right="211"/>
        <w:jc w:val="both"/>
      </w:pPr>
      <w:r>
        <w:rPr/>
        <w:t>Nemcsak ezekben az</w:t>
      </w:r>
      <w:r>
        <w:rPr>
          <w:spacing w:val="-1"/>
        </w:rPr>
        <w:t> </w:t>
      </w:r>
      <w:r>
        <w:rPr/>
        <w:t>egydimenziós elosztási helyzetekben, hanem minden tárgyalásnál jelen van ez a két alaptényező: a tárgyalás tárgyát jelentő előnyök megszerzése, és a kapcsolati tényező. Ezt a két elemet egy koordinátarendszerben szokták ábrázolni, amelyben az egyik tengelyen a vita tárgyában elért eredmény (a számszerűsíthető, vagy szubsztantív eredmény),, a másik tengely</w:t>
      </w:r>
      <w:r>
        <w:rPr>
          <w:spacing w:val="40"/>
        </w:rPr>
        <w:t> </w:t>
      </w:r>
      <w:r>
        <w:rPr/>
        <w:t>pedig a többiekhez fűződő kapcsolat.</w:t>
      </w:r>
    </w:p>
    <w:p>
      <w:pPr>
        <w:pStyle w:val="BodyText"/>
      </w:pPr>
    </w:p>
    <w:p>
      <w:pPr>
        <w:pStyle w:val="BodyText"/>
        <w:spacing w:before="173"/>
      </w:pPr>
    </w:p>
    <w:p>
      <w:pPr>
        <w:pStyle w:val="Heading3"/>
        <w:numPr>
          <w:ilvl w:val="0"/>
          <w:numId w:val="2"/>
        </w:numPr>
        <w:tabs>
          <w:tab w:pos="1194" w:val="left" w:leader="none"/>
        </w:tabs>
        <w:spacing w:line="240" w:lineRule="auto" w:before="0" w:after="0"/>
        <w:ind w:left="1194" w:right="0" w:hanging="358"/>
        <w:jc w:val="left"/>
      </w:pPr>
      <w:r>
        <w:rPr/>
        <mc:AlternateContent>
          <mc:Choice Requires="wps">
            <w:drawing>
              <wp:anchor distT="0" distB="0" distL="0" distR="0" allowOverlap="1" layoutInCell="1" locked="0" behindDoc="0" simplePos="0" relativeHeight="15733760">
                <wp:simplePos x="0" y="0"/>
                <wp:positionH relativeFrom="page">
                  <wp:posOffset>1591310</wp:posOffset>
                </wp:positionH>
                <wp:positionV relativeFrom="paragraph">
                  <wp:posOffset>767668</wp:posOffset>
                </wp:positionV>
                <wp:extent cx="56515" cy="254635"/>
                <wp:effectExtent l="0" t="0" r="0" b="0"/>
                <wp:wrapNone/>
                <wp:docPr id="19" name="Graphic 19"/>
                <wp:cNvGraphicFramePr>
                  <a:graphicFrameLocks/>
                </wp:cNvGraphicFramePr>
                <a:graphic>
                  <a:graphicData uri="http://schemas.microsoft.com/office/word/2010/wordprocessingShape">
                    <wps:wsp>
                      <wps:cNvPr id="19" name="Graphic 19"/>
                      <wps:cNvSpPr/>
                      <wps:spPr>
                        <a:xfrm>
                          <a:off x="0" y="0"/>
                          <a:ext cx="56515" cy="254635"/>
                        </a:xfrm>
                        <a:custGeom>
                          <a:avLst/>
                          <a:gdLst/>
                          <a:ahLst/>
                          <a:cxnLst/>
                          <a:rect l="l" t="t" r="r" b="b"/>
                          <a:pathLst>
                            <a:path w="56515" h="254635">
                              <a:moveTo>
                                <a:pt x="56388" y="0"/>
                              </a:moveTo>
                              <a:lnTo>
                                <a:pt x="0" y="0"/>
                              </a:lnTo>
                              <a:lnTo>
                                <a:pt x="0" y="254508"/>
                              </a:lnTo>
                              <a:lnTo>
                                <a:pt x="56388" y="254508"/>
                              </a:lnTo>
                              <a:lnTo>
                                <a:pt x="5638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25.300003pt;margin-top:60.446346pt;width:4.440pt;height:20.04pt;mso-position-horizontal-relative:page;mso-position-vertical-relative:paragraph;z-index:15733760" id="docshape18" filled="true" fillcolor="#000000" stroked="false">
                <v:fill type="solid"/>
                <w10:wrap type="none"/>
              </v:rect>
            </w:pict>
          </mc:Fallback>
        </mc:AlternateContent>
      </w:r>
      <w:r>
        <w:rPr/>
        <mc:AlternateContent>
          <mc:Choice Requires="wps">
            <w:drawing>
              <wp:anchor distT="0" distB="0" distL="0" distR="0" allowOverlap="1" layoutInCell="1" locked="0" behindDoc="0" simplePos="0" relativeHeight="15734272">
                <wp:simplePos x="0" y="0"/>
                <wp:positionH relativeFrom="page">
                  <wp:posOffset>1369822</wp:posOffset>
                </wp:positionH>
                <wp:positionV relativeFrom="paragraph">
                  <wp:posOffset>826596</wp:posOffset>
                </wp:positionV>
                <wp:extent cx="165735" cy="1603375"/>
                <wp:effectExtent l="0" t="0" r="0" b="0"/>
                <wp:wrapNone/>
                <wp:docPr id="20" name="Textbox 20"/>
                <wp:cNvGraphicFramePr>
                  <a:graphicFrameLocks/>
                </wp:cNvGraphicFramePr>
                <a:graphic>
                  <a:graphicData uri="http://schemas.microsoft.com/office/word/2010/wordprocessingShape">
                    <wps:wsp>
                      <wps:cNvPr id="20" name="Textbox 20"/>
                      <wps:cNvSpPr txBox="1"/>
                      <wps:spPr>
                        <a:xfrm>
                          <a:off x="0" y="0"/>
                          <a:ext cx="165735" cy="1603375"/>
                        </a:xfrm>
                        <a:prstGeom prst="rect">
                          <a:avLst/>
                        </a:prstGeom>
                      </wps:spPr>
                      <wps:txbx>
                        <w:txbxContent>
                          <w:p>
                            <w:pPr>
                              <w:pStyle w:val="BodyText"/>
                              <w:spacing w:line="245" w:lineRule="exact"/>
                              <w:ind w:left="20"/>
                            </w:pPr>
                            <w:r>
                              <w:rPr/>
                              <w:t>A</w:t>
                            </w:r>
                            <w:r>
                              <w:rPr>
                                <w:spacing w:val="-5"/>
                              </w:rPr>
                              <w:t> </w:t>
                            </w:r>
                            <w:r>
                              <w:rPr/>
                              <w:t>CÉL-ELÉRÉS</w:t>
                            </w:r>
                            <w:r>
                              <w:rPr>
                                <w:spacing w:val="-7"/>
                              </w:rPr>
                              <w:t> </w:t>
                            </w:r>
                            <w:r>
                              <w:rPr>
                                <w:spacing w:val="-2"/>
                              </w:rPr>
                              <w:t>FONTOSSÁGA</w:t>
                            </w:r>
                          </w:p>
                        </w:txbxContent>
                      </wps:txbx>
                      <wps:bodyPr wrap="square" lIns="0" tIns="0" rIns="0" bIns="0" rtlCol="0" vert="vert">
                        <a:noAutofit/>
                      </wps:bodyPr>
                    </wps:wsp>
                  </a:graphicData>
                </a:graphic>
              </wp:anchor>
            </w:drawing>
          </mc:Choice>
          <mc:Fallback>
            <w:pict>
              <v:shape style="position:absolute;margin-left:107.860001pt;margin-top:65.086349pt;width:13.05pt;height:126.25pt;mso-position-horizontal-relative:page;mso-position-vertical-relative:paragraph;z-index:15734272" type="#_x0000_t202" id="docshape19" filled="false" stroked="false">
                <v:textbox inset="0,0,0,0" style="layout-flow:vertical">
                  <w:txbxContent>
                    <w:p>
                      <w:pPr>
                        <w:pStyle w:val="BodyText"/>
                        <w:spacing w:line="245" w:lineRule="exact"/>
                        <w:ind w:left="20"/>
                      </w:pPr>
                      <w:r>
                        <w:rPr/>
                        <w:t>A</w:t>
                      </w:r>
                      <w:r>
                        <w:rPr>
                          <w:spacing w:val="-5"/>
                        </w:rPr>
                        <w:t> </w:t>
                      </w:r>
                      <w:r>
                        <w:rPr/>
                        <w:t>CÉL-ELÉRÉS</w:t>
                      </w:r>
                      <w:r>
                        <w:rPr>
                          <w:spacing w:val="-7"/>
                        </w:rPr>
                        <w:t> </w:t>
                      </w:r>
                      <w:r>
                        <w:rPr>
                          <w:spacing w:val="-2"/>
                        </w:rPr>
                        <w:t>FONTOSSÁGA</w:t>
                      </w:r>
                    </w:p>
                  </w:txbxContent>
                </v:textbox>
                <w10:wrap type="none"/>
              </v:shape>
            </w:pict>
          </mc:Fallback>
        </mc:AlternateContent>
      </w:r>
      <w:r>
        <w:rPr/>
        <mc:AlternateContent>
          <mc:Choice Requires="wps">
            <w:drawing>
              <wp:anchor distT="0" distB="0" distL="0" distR="0" allowOverlap="1" layoutInCell="1" locked="0" behindDoc="0" simplePos="0" relativeHeight="15734784">
                <wp:simplePos x="0" y="0"/>
                <wp:positionH relativeFrom="page">
                  <wp:posOffset>1107744</wp:posOffset>
                </wp:positionH>
                <wp:positionV relativeFrom="paragraph">
                  <wp:posOffset>826596</wp:posOffset>
                </wp:positionV>
                <wp:extent cx="165735" cy="1417955"/>
                <wp:effectExtent l="0" t="0" r="0" b="0"/>
                <wp:wrapNone/>
                <wp:docPr id="21" name="Textbox 21"/>
                <wp:cNvGraphicFramePr>
                  <a:graphicFrameLocks/>
                </wp:cNvGraphicFramePr>
                <a:graphic>
                  <a:graphicData uri="http://schemas.microsoft.com/office/word/2010/wordprocessingShape">
                    <wps:wsp>
                      <wps:cNvPr id="21" name="Textbox 21"/>
                      <wps:cNvSpPr txBox="1"/>
                      <wps:spPr>
                        <a:xfrm>
                          <a:off x="0" y="0"/>
                          <a:ext cx="165735" cy="1417955"/>
                        </a:xfrm>
                        <a:prstGeom prst="rect">
                          <a:avLst/>
                        </a:prstGeom>
                      </wps:spPr>
                      <wps:txbx>
                        <w:txbxContent>
                          <w:p>
                            <w:pPr>
                              <w:pStyle w:val="BodyText"/>
                              <w:spacing w:line="245" w:lineRule="exact"/>
                              <w:ind w:left="20"/>
                            </w:pPr>
                            <w:r>
                              <w:rPr/>
                              <w:t>(szubsztantív</w:t>
                            </w:r>
                            <w:r>
                              <w:rPr>
                                <w:spacing w:val="-6"/>
                              </w:rPr>
                              <w:t> </w:t>
                            </w:r>
                            <w:r>
                              <w:rPr>
                                <w:spacing w:val="-2"/>
                              </w:rPr>
                              <w:t>eredmény)</w:t>
                            </w:r>
                          </w:p>
                        </w:txbxContent>
                      </wps:txbx>
                      <wps:bodyPr wrap="square" lIns="0" tIns="0" rIns="0" bIns="0" rtlCol="0" vert="vert">
                        <a:noAutofit/>
                      </wps:bodyPr>
                    </wps:wsp>
                  </a:graphicData>
                </a:graphic>
              </wp:anchor>
            </w:drawing>
          </mc:Choice>
          <mc:Fallback>
            <w:pict>
              <v:shape style="position:absolute;margin-left:87.223999pt;margin-top:65.086349pt;width:13.05pt;height:111.65pt;mso-position-horizontal-relative:page;mso-position-vertical-relative:paragraph;z-index:15734784" type="#_x0000_t202" id="docshape20" filled="false" stroked="false">
                <v:textbox inset="0,0,0,0" style="layout-flow:vertical">
                  <w:txbxContent>
                    <w:p>
                      <w:pPr>
                        <w:pStyle w:val="BodyText"/>
                        <w:spacing w:line="245" w:lineRule="exact"/>
                        <w:ind w:left="20"/>
                      </w:pPr>
                      <w:r>
                        <w:rPr/>
                        <w:t>(szubsztantív</w:t>
                      </w:r>
                      <w:r>
                        <w:rPr>
                          <w:spacing w:val="-6"/>
                        </w:rPr>
                        <w:t> </w:t>
                      </w:r>
                      <w:r>
                        <w:rPr>
                          <w:spacing w:val="-2"/>
                        </w:rPr>
                        <w:t>eredmény)</w:t>
                      </w:r>
                    </w:p>
                  </w:txbxContent>
                </v:textbox>
                <w10:wrap type="none"/>
              </v:shape>
            </w:pict>
          </mc:Fallback>
        </mc:AlternateContent>
      </w:r>
      <w:r>
        <w:rPr/>
        <w:t>ábra:</w:t>
      </w:r>
      <w:r>
        <w:rPr>
          <w:spacing w:val="-8"/>
        </w:rPr>
        <w:t> </w:t>
      </w:r>
      <w:r>
        <w:rPr/>
        <w:t>Tárgyalási</w:t>
      </w:r>
      <w:r>
        <w:rPr>
          <w:spacing w:val="-7"/>
        </w:rPr>
        <w:t> </w:t>
      </w:r>
      <w:r>
        <w:rPr>
          <w:spacing w:val="-2"/>
        </w:rPr>
        <w:t>stratégiák</w: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120"/>
        <w:rPr>
          <w:b/>
          <w:sz w:val="20"/>
        </w:rPr>
      </w:pPr>
    </w:p>
    <w:tbl>
      <w:tblPr>
        <w:tblW w:w="0" w:type="auto"/>
        <w:jc w:val="left"/>
        <w:tblInd w:w="12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553"/>
        <w:gridCol w:w="2409"/>
        <w:gridCol w:w="2552"/>
      </w:tblGrid>
      <w:tr>
        <w:trPr>
          <w:trHeight w:val="1165" w:hRule="atLeast"/>
        </w:trPr>
        <w:tc>
          <w:tcPr>
            <w:tcW w:w="2553" w:type="dxa"/>
            <w:tcBorders>
              <w:left w:val="single" w:sz="36" w:space="0" w:color="000000"/>
            </w:tcBorders>
            <w:shd w:val="clear" w:color="auto" w:fill="BEBEBE"/>
          </w:tcPr>
          <w:p>
            <w:pPr>
              <w:pStyle w:val="TableParagraph"/>
              <w:spacing w:before="27"/>
              <w:ind w:left="108"/>
              <w:rPr>
                <w:sz w:val="22"/>
              </w:rPr>
            </w:pPr>
            <w:r>
              <w:rPr>
                <w:spacing w:val="-2"/>
                <w:sz w:val="22"/>
              </w:rPr>
              <w:t>VERSENGŐ</w:t>
            </w:r>
          </w:p>
          <w:p>
            <w:pPr>
              <w:pStyle w:val="TableParagraph"/>
              <w:spacing w:before="137"/>
              <w:ind w:left="108"/>
              <w:rPr>
                <w:sz w:val="18"/>
              </w:rPr>
            </w:pPr>
            <w:r>
              <w:rPr>
                <w:sz w:val="18"/>
              </w:rPr>
              <w:t>„KEMÉNY”</w:t>
            </w:r>
            <w:r>
              <w:rPr>
                <w:spacing w:val="-4"/>
                <w:sz w:val="18"/>
              </w:rPr>
              <w:t> </w:t>
            </w:r>
            <w:r>
              <w:rPr>
                <w:spacing w:val="-2"/>
                <w:sz w:val="18"/>
              </w:rPr>
              <w:t>TÁRGYALÁS</w:t>
            </w:r>
          </w:p>
        </w:tc>
        <w:tc>
          <w:tcPr>
            <w:tcW w:w="2409" w:type="dxa"/>
            <w:tcBorders>
              <w:right w:val="thinThickThinSmallGap" w:sz="24" w:space="0" w:color="000000"/>
            </w:tcBorders>
          </w:tcPr>
          <w:p>
            <w:pPr>
              <w:pStyle w:val="TableParagraph"/>
              <w:ind w:left="0"/>
              <w:rPr>
                <w:rFonts w:ascii="Times New Roman"/>
                <w:sz w:val="20"/>
              </w:rPr>
            </w:pPr>
          </w:p>
        </w:tc>
        <w:tc>
          <w:tcPr>
            <w:tcW w:w="2552" w:type="dxa"/>
            <w:tcBorders>
              <w:top w:val="thinThickMediumGap" w:sz="12" w:space="0" w:color="000000"/>
              <w:left w:val="thinThickThinSmallGap" w:sz="24" w:space="0" w:color="000000"/>
              <w:bottom w:val="single" w:sz="6" w:space="0" w:color="000000"/>
              <w:right w:val="thinThickThinSmallGap" w:sz="24" w:space="0" w:color="000000"/>
            </w:tcBorders>
          </w:tcPr>
          <w:p>
            <w:pPr>
              <w:pStyle w:val="TableParagraph"/>
              <w:spacing w:line="362" w:lineRule="auto" w:before="27"/>
              <w:ind w:left="93" w:right="261"/>
              <w:rPr>
                <w:sz w:val="18"/>
              </w:rPr>
            </w:pPr>
            <w:r>
              <w:rPr>
                <w:spacing w:val="-2"/>
                <w:sz w:val="22"/>
              </w:rPr>
              <w:t>PROBLÉMAMEGOLDÓ </w:t>
            </w:r>
            <w:r>
              <w:rPr>
                <w:spacing w:val="-2"/>
                <w:sz w:val="18"/>
              </w:rPr>
              <w:t>EGYÜTTMŰKÖDŐ</w:t>
            </w:r>
            <w:r>
              <w:rPr>
                <w:sz w:val="18"/>
              </w:rPr>
              <w:t> ÉRTÉKTEREMTŐ</w:t>
            </w:r>
            <w:r>
              <w:rPr>
                <w:spacing w:val="-11"/>
                <w:sz w:val="18"/>
              </w:rPr>
              <w:t> </w:t>
            </w:r>
            <w:r>
              <w:rPr>
                <w:sz w:val="18"/>
              </w:rPr>
              <w:t>TÁRGYALÁS</w:t>
            </w:r>
          </w:p>
        </w:tc>
      </w:tr>
      <w:tr>
        <w:trPr>
          <w:trHeight w:val="1571" w:hRule="atLeast"/>
        </w:trPr>
        <w:tc>
          <w:tcPr>
            <w:tcW w:w="2553" w:type="dxa"/>
            <w:vMerge w:val="restart"/>
            <w:tcBorders>
              <w:left w:val="single" w:sz="36" w:space="0" w:color="000000"/>
              <w:bottom w:val="single" w:sz="36" w:space="0" w:color="000000"/>
            </w:tcBorders>
          </w:tcPr>
          <w:p>
            <w:pPr>
              <w:pStyle w:val="TableParagraph"/>
              <w:ind w:left="0"/>
              <w:rPr>
                <w:b/>
                <w:sz w:val="22"/>
              </w:rPr>
            </w:pPr>
          </w:p>
          <w:p>
            <w:pPr>
              <w:pStyle w:val="TableParagraph"/>
              <w:ind w:left="0"/>
              <w:rPr>
                <w:b/>
                <w:sz w:val="22"/>
              </w:rPr>
            </w:pPr>
          </w:p>
          <w:p>
            <w:pPr>
              <w:pStyle w:val="TableParagraph"/>
              <w:ind w:left="0"/>
              <w:rPr>
                <w:b/>
                <w:sz w:val="22"/>
              </w:rPr>
            </w:pPr>
          </w:p>
          <w:p>
            <w:pPr>
              <w:pStyle w:val="TableParagraph"/>
              <w:ind w:left="0"/>
              <w:rPr>
                <w:b/>
                <w:sz w:val="22"/>
              </w:rPr>
            </w:pPr>
          </w:p>
          <w:p>
            <w:pPr>
              <w:pStyle w:val="TableParagraph"/>
              <w:ind w:left="0"/>
              <w:rPr>
                <w:b/>
                <w:sz w:val="22"/>
              </w:rPr>
            </w:pPr>
          </w:p>
          <w:p>
            <w:pPr>
              <w:pStyle w:val="TableParagraph"/>
              <w:ind w:left="0"/>
              <w:rPr>
                <w:b/>
                <w:sz w:val="22"/>
              </w:rPr>
            </w:pPr>
          </w:p>
          <w:p>
            <w:pPr>
              <w:pStyle w:val="TableParagraph"/>
              <w:spacing w:before="212"/>
              <w:ind w:left="0"/>
              <w:rPr>
                <w:b/>
                <w:sz w:val="22"/>
              </w:rPr>
            </w:pPr>
          </w:p>
          <w:p>
            <w:pPr>
              <w:pStyle w:val="TableParagraph"/>
              <w:ind w:left="108"/>
              <w:rPr>
                <w:sz w:val="22"/>
              </w:rPr>
            </w:pPr>
            <w:r>
              <w:rPr>
                <w:spacing w:val="-2"/>
                <w:sz w:val="22"/>
              </w:rPr>
              <w:t>ELKERÜLŐ</w:t>
            </w:r>
          </w:p>
          <w:p>
            <w:pPr>
              <w:pStyle w:val="TableParagraph"/>
              <w:spacing w:before="137"/>
              <w:ind w:left="108"/>
              <w:rPr>
                <w:sz w:val="18"/>
              </w:rPr>
            </w:pPr>
            <w:r>
              <w:rPr>
                <w:sz w:val="18"/>
              </w:rPr>
              <w:t>NEM</w:t>
            </w:r>
            <w:r>
              <w:rPr>
                <w:spacing w:val="-1"/>
                <w:sz w:val="18"/>
              </w:rPr>
              <w:t> </w:t>
            </w:r>
            <w:r>
              <w:rPr>
                <w:spacing w:val="-2"/>
                <w:sz w:val="18"/>
              </w:rPr>
              <w:t>TÁRGYALÓ</w:t>
            </w:r>
          </w:p>
        </w:tc>
        <w:tc>
          <w:tcPr>
            <w:tcW w:w="2409" w:type="dxa"/>
            <w:vMerge w:val="restart"/>
            <w:shd w:val="clear" w:color="auto" w:fill="BEBEBE"/>
          </w:tcPr>
          <w:p>
            <w:pPr>
              <w:pStyle w:val="TableParagraph"/>
              <w:spacing w:before="102"/>
              <w:ind w:left="152"/>
              <w:rPr>
                <w:sz w:val="22"/>
              </w:rPr>
            </w:pPr>
            <w:r>
              <w:rPr>
                <w:spacing w:val="-2"/>
                <w:sz w:val="22"/>
              </w:rPr>
              <w:t>KOMPROMISSZUM</w:t>
            </w:r>
          </w:p>
          <w:p>
            <w:pPr>
              <w:pStyle w:val="TableParagraph"/>
              <w:spacing w:line="362" w:lineRule="auto" w:before="137"/>
              <w:ind w:left="152"/>
              <w:rPr>
                <w:sz w:val="18"/>
              </w:rPr>
            </w:pPr>
            <w:r>
              <w:rPr>
                <w:spacing w:val="-2"/>
                <w:sz w:val="18"/>
              </w:rPr>
              <w:t>„KIEGYENSÚLYOZOTT”</w:t>
            </w:r>
            <w:r>
              <w:rPr>
                <w:sz w:val="18"/>
              </w:rPr>
              <w:t> </w:t>
            </w:r>
            <w:r>
              <w:rPr>
                <w:spacing w:val="-2"/>
                <w:sz w:val="18"/>
              </w:rPr>
              <w:t>TÁRGYALÁS</w:t>
            </w:r>
          </w:p>
        </w:tc>
        <w:tc>
          <w:tcPr>
            <w:tcW w:w="2552" w:type="dxa"/>
            <w:tcBorders>
              <w:top w:val="single" w:sz="6" w:space="0" w:color="000000"/>
              <w:bottom w:val="thinThickThinSmallGap" w:sz="24" w:space="0" w:color="000000"/>
            </w:tcBorders>
          </w:tcPr>
          <w:p>
            <w:pPr>
              <w:pStyle w:val="TableParagraph"/>
              <w:ind w:left="0"/>
              <w:rPr>
                <w:rFonts w:ascii="Times New Roman"/>
                <w:sz w:val="20"/>
              </w:rPr>
            </w:pPr>
          </w:p>
        </w:tc>
      </w:tr>
      <w:tr>
        <w:trPr>
          <w:trHeight w:val="359" w:hRule="atLeast"/>
        </w:trPr>
        <w:tc>
          <w:tcPr>
            <w:tcW w:w="2553" w:type="dxa"/>
            <w:vMerge/>
            <w:tcBorders>
              <w:top w:val="nil"/>
              <w:left w:val="single" w:sz="36" w:space="0" w:color="000000"/>
              <w:bottom w:val="single" w:sz="36" w:space="0" w:color="000000"/>
            </w:tcBorders>
          </w:tcPr>
          <w:p>
            <w:pPr>
              <w:rPr>
                <w:sz w:val="2"/>
                <w:szCs w:val="2"/>
              </w:rPr>
            </w:pPr>
          </w:p>
        </w:tc>
        <w:tc>
          <w:tcPr>
            <w:tcW w:w="2409" w:type="dxa"/>
            <w:vMerge/>
            <w:tcBorders>
              <w:top w:val="nil"/>
            </w:tcBorders>
            <w:shd w:val="clear" w:color="auto" w:fill="BEBEBE"/>
          </w:tcPr>
          <w:p>
            <w:pPr>
              <w:rPr>
                <w:sz w:val="2"/>
                <w:szCs w:val="2"/>
              </w:rPr>
            </w:pPr>
          </w:p>
        </w:tc>
        <w:tc>
          <w:tcPr>
            <w:tcW w:w="2552" w:type="dxa"/>
            <w:tcBorders>
              <w:top w:val="thinThickThinSmallGap" w:sz="24" w:space="0" w:color="000000"/>
            </w:tcBorders>
          </w:tcPr>
          <w:p>
            <w:pPr>
              <w:pStyle w:val="TableParagraph"/>
              <w:ind w:left="0"/>
              <w:rPr>
                <w:rFonts w:ascii="Times New Roman"/>
                <w:sz w:val="20"/>
              </w:rPr>
            </w:pPr>
          </w:p>
        </w:tc>
      </w:tr>
      <w:tr>
        <w:trPr>
          <w:trHeight w:val="1089" w:hRule="atLeast"/>
        </w:trPr>
        <w:tc>
          <w:tcPr>
            <w:tcW w:w="2553" w:type="dxa"/>
            <w:vMerge/>
            <w:tcBorders>
              <w:top w:val="nil"/>
              <w:left w:val="single" w:sz="36" w:space="0" w:color="000000"/>
              <w:bottom w:val="single" w:sz="36" w:space="0" w:color="000000"/>
            </w:tcBorders>
          </w:tcPr>
          <w:p>
            <w:pPr>
              <w:rPr>
                <w:sz w:val="2"/>
                <w:szCs w:val="2"/>
              </w:rPr>
            </w:pPr>
          </w:p>
        </w:tc>
        <w:tc>
          <w:tcPr>
            <w:tcW w:w="2409" w:type="dxa"/>
            <w:tcBorders>
              <w:bottom w:val="single" w:sz="36" w:space="0" w:color="000000"/>
            </w:tcBorders>
          </w:tcPr>
          <w:p>
            <w:pPr>
              <w:pStyle w:val="TableParagraph"/>
              <w:ind w:left="0"/>
              <w:rPr>
                <w:rFonts w:ascii="Times New Roman"/>
                <w:sz w:val="20"/>
              </w:rPr>
            </w:pPr>
          </w:p>
        </w:tc>
        <w:tc>
          <w:tcPr>
            <w:tcW w:w="2552" w:type="dxa"/>
            <w:tcBorders>
              <w:bottom w:val="single" w:sz="36" w:space="0" w:color="000000"/>
            </w:tcBorders>
            <w:shd w:val="clear" w:color="auto" w:fill="BEBEBE"/>
          </w:tcPr>
          <w:p>
            <w:pPr>
              <w:pStyle w:val="TableParagraph"/>
              <w:spacing w:line="220" w:lineRule="exact"/>
              <w:ind w:left="153"/>
              <w:rPr>
                <w:sz w:val="22"/>
              </w:rPr>
            </w:pPr>
            <w:r>
              <w:rPr>
                <w:spacing w:val="-2"/>
                <w:sz w:val="22"/>
              </w:rPr>
              <w:t>ÁTENGEDŐ</w:t>
            </w:r>
          </w:p>
          <w:p>
            <w:pPr>
              <w:pStyle w:val="TableParagraph"/>
              <w:spacing w:before="136"/>
              <w:ind w:left="153"/>
              <w:rPr>
                <w:sz w:val="18"/>
              </w:rPr>
            </w:pPr>
            <w:r>
              <w:rPr>
                <w:sz w:val="18"/>
              </w:rPr>
              <w:t>„PUHA”</w:t>
            </w:r>
            <w:r>
              <w:rPr>
                <w:spacing w:val="-4"/>
                <w:sz w:val="18"/>
              </w:rPr>
              <w:t> </w:t>
            </w:r>
            <w:r>
              <w:rPr>
                <w:spacing w:val="-2"/>
                <w:sz w:val="18"/>
              </w:rPr>
              <w:t>TÁRGYALÁS</w:t>
            </w:r>
          </w:p>
        </w:tc>
      </w:tr>
    </w:tbl>
    <w:p>
      <w:pPr>
        <w:pStyle w:val="BodyText"/>
        <w:tabs>
          <w:tab w:pos="5879" w:val="left" w:leader="none"/>
        </w:tabs>
        <w:ind w:left="1359"/>
      </w:pPr>
      <w:r>
        <w:rPr>
          <w:b/>
          <w:spacing w:val="-10"/>
          <w:sz w:val="36"/>
        </w:rPr>
        <w:t>0</w:t>
      </w:r>
      <w:r>
        <w:rPr>
          <w:b/>
          <w:sz w:val="36"/>
        </w:rPr>
        <w:tab/>
      </w:r>
      <w:r>
        <w:rPr/>
        <w:t>A</w:t>
      </w:r>
      <w:r>
        <w:rPr>
          <w:spacing w:val="-9"/>
        </w:rPr>
        <w:t> </w:t>
      </w:r>
      <w:r>
        <w:rPr/>
        <w:t>KAPCSOLATOK</w:t>
      </w:r>
      <w:r>
        <w:rPr>
          <w:spacing w:val="-7"/>
        </w:rPr>
        <w:t> </w:t>
      </w:r>
      <w:r>
        <w:rPr>
          <w:spacing w:val="-2"/>
        </w:rPr>
        <w:t>FONTOSSÁGA</w:t>
      </w:r>
    </w:p>
    <w:p>
      <w:pPr>
        <w:pStyle w:val="BodyText"/>
        <w:spacing w:before="218"/>
        <w:ind w:left="1359"/>
      </w:pPr>
      <w:r>
        <w:rPr/>
        <w:t>(kapcsolati</w:t>
      </w:r>
      <w:r>
        <w:rPr>
          <w:spacing w:val="-10"/>
        </w:rPr>
        <w:t> </w:t>
      </w:r>
      <w:r>
        <w:rPr>
          <w:spacing w:val="-2"/>
        </w:rPr>
        <w:t>eredmény)</w:t>
      </w:r>
    </w:p>
    <w:p>
      <w:pPr>
        <w:spacing w:after="0"/>
        <w:sectPr>
          <w:pgSz w:w="11910" w:h="16840"/>
          <w:pgMar w:header="0" w:footer="1002" w:top="1320" w:bottom="1200" w:left="1300" w:right="1200"/>
        </w:sectPr>
      </w:pPr>
    </w:p>
    <w:p>
      <w:pPr>
        <w:pStyle w:val="BodyText"/>
        <w:spacing w:line="360" w:lineRule="auto" w:before="34"/>
        <w:ind w:left="116" w:right="212"/>
        <w:jc w:val="both"/>
      </w:pPr>
      <w:r>
        <w:rPr/>
        <w:t>A kemény, versengő tárgyaló a szubsztantív előnyt helyezi előtérbe, ennek érdekében akár a személyes kapcsolatot is feláldozza. (Ezért szerepel nagy érték a szubszantív eredmény dimenzióban, és kicsi a kapcsolatiban.) Az átengedő tárgyalás során a kapcsolat megőrzése kerül előtérbe, és ezért</w:t>
      </w:r>
      <w:r>
        <w:rPr>
          <w:spacing w:val="40"/>
        </w:rPr>
        <w:t> </w:t>
      </w:r>
      <w:r>
        <w:rPr/>
        <w:t>a szubsztantív célban áldozatot is hajlandó vállalni a tárgyaló. (Ezért van a magas érték mellett a kapcsolati tengelyen és alacsonynál a szubsztantív eredmény tengelyén.) Kompromisszum akkor jön létre, amikor olyan megoldást keresünk, ami aránylag korrekten mindkét fél érdekeit figyelembe veszi. Ekkor az eredményből engedünk az igazságosság, vagy saját önbecsülésünk miatt, így nem tökéletes a boldogság, de általában a kapcsolat se sérül komolyan. (Ezért jellemzi közepes értékkel minkét dimenzió szerint.)</w:t>
      </w:r>
    </w:p>
    <w:p>
      <w:pPr>
        <w:pStyle w:val="BodyText"/>
        <w:spacing w:line="360" w:lineRule="auto" w:before="201"/>
        <w:ind w:left="116" w:right="212"/>
        <w:jc w:val="both"/>
      </w:pPr>
      <w:r>
        <w:rPr/>
        <w:t>Ez a három felosztó stratégia látható a szürkével aláfestett kereszttengelyen. Ezek mind a hagyományos, zéró-összegű felfogáson alapulnak. Az együttműködő tárgyalás a jobb felső sarokba került, mert a módszer lényege abban fogható meg, hogy egyszerre próbálja a szubsztantív és a kapcsolati eredményt is a lehető legmagasabb fokon elérni. Nem egyszerűen az azonnal felfogott értékek elosztására törekszik, hanem a konstruktív probléma megoldásra, amely új értékeket teremt. Ettől lesz pozitív összegű a játszma. Ez az új értékteremtés teszi lehetővé, hogy minden fél elégedetten fejezze be a tárgyalást, így mind a szubsztantív eredményben, mind a kapcsolati eredményben magas érték szerepel.</w:t>
      </w:r>
    </w:p>
    <w:p>
      <w:pPr>
        <w:pStyle w:val="BodyText"/>
      </w:pPr>
    </w:p>
    <w:p>
      <w:pPr>
        <w:pStyle w:val="BodyText"/>
      </w:pPr>
    </w:p>
    <w:p>
      <w:pPr>
        <w:pStyle w:val="BodyText"/>
      </w:pPr>
    </w:p>
    <w:p>
      <w:pPr>
        <w:pStyle w:val="Heading2"/>
        <w:numPr>
          <w:ilvl w:val="1"/>
          <w:numId w:val="1"/>
        </w:numPr>
        <w:tabs>
          <w:tab w:pos="1916" w:val="left" w:leader="none"/>
        </w:tabs>
        <w:spacing w:line="240" w:lineRule="auto" w:before="0" w:after="0"/>
        <w:ind w:left="1916" w:right="0" w:hanging="720"/>
        <w:jc w:val="left"/>
      </w:pPr>
      <w:r>
        <w:rPr>
          <w:color w:val="4F81BC"/>
        </w:rPr>
        <w:t>A</w:t>
      </w:r>
      <w:r>
        <w:rPr>
          <w:color w:val="4F81BC"/>
          <w:spacing w:val="-11"/>
        </w:rPr>
        <w:t> </w:t>
      </w:r>
      <w:r>
        <w:rPr>
          <w:color w:val="4F81BC"/>
        </w:rPr>
        <w:t>személyiség</w:t>
      </w:r>
      <w:r>
        <w:rPr>
          <w:color w:val="4F81BC"/>
          <w:spacing w:val="-10"/>
        </w:rPr>
        <w:t> </w:t>
      </w:r>
      <w:r>
        <w:rPr>
          <w:color w:val="4F81BC"/>
          <w:spacing w:val="-2"/>
        </w:rPr>
        <w:t>szerepe</w:t>
      </w:r>
    </w:p>
    <w:p>
      <w:pPr>
        <w:pStyle w:val="BodyText"/>
        <w:rPr>
          <w:rFonts w:ascii="Cambria"/>
          <w:b/>
          <w:sz w:val="26"/>
        </w:rPr>
      </w:pPr>
    </w:p>
    <w:p>
      <w:pPr>
        <w:pStyle w:val="BodyText"/>
        <w:spacing w:before="184"/>
        <w:rPr>
          <w:rFonts w:ascii="Cambria"/>
          <w:b/>
          <w:sz w:val="26"/>
        </w:rPr>
      </w:pPr>
    </w:p>
    <w:p>
      <w:pPr>
        <w:pStyle w:val="BodyText"/>
        <w:spacing w:line="360" w:lineRule="auto"/>
        <w:ind w:left="116" w:right="214"/>
        <w:jc w:val="both"/>
      </w:pPr>
      <w:r>
        <w:rPr/>
        <w:t>Eddig a lehetséges tárgyalási stratégiákról hasznosságuk és alkalmazhatóságuk alapján beszéltünk.</w:t>
      </w:r>
      <w:r>
        <w:rPr>
          <w:spacing w:val="40"/>
        </w:rPr>
        <w:t> </w:t>
      </w:r>
      <w:r>
        <w:rPr/>
        <w:t>Azt azonban, hogy</w:t>
      </w:r>
      <w:r>
        <w:rPr>
          <w:spacing w:val="-2"/>
        </w:rPr>
        <w:t> </w:t>
      </w:r>
      <w:r>
        <w:rPr/>
        <w:t>milyen</w:t>
      </w:r>
      <w:r>
        <w:rPr>
          <w:spacing w:val="-2"/>
        </w:rPr>
        <w:t> </w:t>
      </w:r>
      <w:r>
        <w:rPr/>
        <w:t>helyzetben hogyan</w:t>
      </w:r>
      <w:r>
        <w:rPr>
          <w:spacing w:val="-1"/>
        </w:rPr>
        <w:t> </w:t>
      </w:r>
      <w:r>
        <w:rPr/>
        <w:t>tárgyalunk nemcsak az</w:t>
      </w:r>
      <w:r>
        <w:rPr>
          <w:spacing w:val="-1"/>
        </w:rPr>
        <w:t> </w:t>
      </w:r>
      <w:r>
        <w:rPr/>
        <w:t>eddigi racionális megfontolások, hanem személyiségünk is befolyásolja. Alapvetően személyiségünk típusa dönti el, hogy melyek azok a tárgyalási stratégiák, amelyek közel állnak hozzánk. Ezek azok a stratégiák, amelyekre ösztönösen hajlanánk. Más stratégiák alkalmazásához önkontrollra és tudatosságra van szükségünk. A képzett tárgyaló nemcsak tisztában van személyiségével, de azt is tudja, hogy mi módon tudja tudatos kontrollal felülírni ösztönös reakcióit azokban a helyzetekben, amikor olyan stratégiára van szükség, ami ösztönös reakcióitól távol áll. Az önismeret és önkontroll lehetőséget teremt arra, hogy a helyzet megoldására legalkalmasabb stratégiát hitelesen és sikerrel alkalmazhassuk.</w:t>
      </w:r>
    </w:p>
    <w:p>
      <w:pPr>
        <w:pStyle w:val="BodyText"/>
        <w:spacing w:line="357" w:lineRule="auto" w:before="122"/>
        <w:ind w:left="116" w:right="212"/>
        <w:jc w:val="both"/>
      </w:pPr>
      <w:r>
        <w:rPr/>
        <w:t>Biztos mindenki elgondolkodott arról, hogy vajon melyik stratégiát alkalmazza leggyakrabban. Aki nem</w:t>
      </w:r>
      <w:r>
        <w:rPr>
          <w:spacing w:val="39"/>
        </w:rPr>
        <w:t> </w:t>
      </w:r>
      <w:r>
        <w:rPr/>
        <w:t>biztos</w:t>
      </w:r>
      <w:r>
        <w:rPr>
          <w:spacing w:val="38"/>
        </w:rPr>
        <w:t> </w:t>
      </w:r>
      <w:r>
        <w:rPr/>
        <w:t>abban,</w:t>
      </w:r>
      <w:r>
        <w:rPr>
          <w:spacing w:val="38"/>
        </w:rPr>
        <w:t> </w:t>
      </w:r>
      <w:r>
        <w:rPr/>
        <w:t>hogy</w:t>
      </w:r>
      <w:r>
        <w:rPr>
          <w:spacing w:val="39"/>
        </w:rPr>
        <w:t> </w:t>
      </w:r>
      <w:r>
        <w:rPr/>
        <w:t>saját</w:t>
      </w:r>
      <w:r>
        <w:rPr>
          <w:spacing w:val="38"/>
        </w:rPr>
        <w:t> </w:t>
      </w:r>
      <w:r>
        <w:rPr/>
        <w:t>magát</w:t>
      </w:r>
      <w:r>
        <w:rPr>
          <w:spacing w:val="38"/>
        </w:rPr>
        <w:t> </w:t>
      </w:r>
      <w:r>
        <w:rPr/>
        <w:t>hova</w:t>
      </w:r>
      <w:r>
        <w:rPr>
          <w:spacing w:val="38"/>
        </w:rPr>
        <w:t> </w:t>
      </w:r>
      <w:r>
        <w:rPr/>
        <w:t>sorolná,</w:t>
      </w:r>
      <w:r>
        <w:rPr>
          <w:spacing w:val="35"/>
        </w:rPr>
        <w:t> </w:t>
      </w:r>
      <w:r>
        <w:rPr/>
        <w:t>vagy</w:t>
      </w:r>
      <w:r>
        <w:rPr>
          <w:spacing w:val="39"/>
        </w:rPr>
        <w:t> </w:t>
      </w:r>
      <w:r>
        <w:rPr/>
        <w:t>kíváncsi,</w:t>
      </w:r>
      <w:r>
        <w:rPr>
          <w:spacing w:val="38"/>
        </w:rPr>
        <w:t> </w:t>
      </w:r>
      <w:r>
        <w:rPr/>
        <w:t>hogy</w:t>
      </w:r>
      <w:r>
        <w:rPr>
          <w:spacing w:val="39"/>
        </w:rPr>
        <w:t> </w:t>
      </w:r>
      <w:r>
        <w:rPr/>
        <w:t>egy</w:t>
      </w:r>
      <w:r>
        <w:rPr>
          <w:spacing w:val="39"/>
        </w:rPr>
        <w:t> </w:t>
      </w:r>
      <w:r>
        <w:rPr/>
        <w:t>önértékelő</w:t>
      </w:r>
      <w:r>
        <w:rPr>
          <w:spacing w:val="40"/>
        </w:rPr>
        <w:t> </w:t>
      </w:r>
      <w:r>
        <w:rPr/>
        <w:t>kérdéssor</w:t>
      </w:r>
    </w:p>
    <w:p>
      <w:pPr>
        <w:spacing w:after="0" w:line="357" w:lineRule="auto"/>
        <w:jc w:val="both"/>
        <w:sectPr>
          <w:pgSz w:w="11910" w:h="16840"/>
          <w:pgMar w:header="0" w:footer="1002" w:top="1360" w:bottom="1200" w:left="1300" w:right="1200"/>
        </w:sectPr>
      </w:pPr>
    </w:p>
    <w:p>
      <w:pPr>
        <w:pStyle w:val="BodyText"/>
        <w:spacing w:line="360" w:lineRule="auto" w:before="34"/>
        <w:ind w:left="116" w:right="212"/>
        <w:jc w:val="both"/>
      </w:pPr>
      <w:r>
        <w:rPr/>
        <w:t>eredménye mit mondana róla, a kurzus során, a Thomas-Kilmann kérdéssor kitöltésével segítséget kap hozzá.</w:t>
      </w:r>
    </w:p>
    <w:p>
      <w:pPr>
        <w:pStyle w:val="BodyText"/>
        <w:spacing w:line="360" w:lineRule="auto" w:before="121"/>
        <w:ind w:left="116" w:right="212"/>
        <w:jc w:val="both"/>
      </w:pPr>
      <w:r>
        <w:rPr/>
        <w:t>A kérdéssort a szerzők arra fejlesztették ki, hogy megmutassa, hogy a kitöltő egy</w:t>
      </w:r>
      <w:r>
        <w:rPr>
          <w:spacing w:val="40"/>
        </w:rPr>
        <w:t> </w:t>
      </w:r>
      <w:r>
        <w:rPr/>
        <w:t>konfliktushelyzetben melyik konfliktuskezelési stratégiához folyamodna ösztönösen a legnagyobb eséllyel. Itt azért írok konfliktushelyzetet és nem tárgyalási helyzetet, mert általában mindaddig aránylag kiegyensúlyozott stratégiával élünk, ameddig nyugodt helyzetben</w:t>
      </w:r>
      <w:r>
        <w:rPr>
          <w:spacing w:val="-1"/>
        </w:rPr>
        <w:t> </w:t>
      </w:r>
      <w:r>
        <w:rPr/>
        <w:t>mérlegelünk. Konfliktusok során komoly stresszhelyzet alakul ki, és a stressz növekedésével jó eséllyel csökken az önkontroll és egyre nagyobb a kockázata annak, hogy ösztönös reakciókba sodródunk. Thomas és Kilmann a kérdéssort arra alkotta meg, hogy segítsen tudatosítani azt az irányt, amely felé személyiségünk ösztönös reakciói irányítanak.</w:t>
      </w:r>
    </w:p>
    <w:p>
      <w:pPr>
        <w:pStyle w:val="BodyText"/>
        <w:spacing w:before="122"/>
        <w:ind w:left="116"/>
        <w:jc w:val="both"/>
      </w:pPr>
      <w:r>
        <w:rPr/>
        <w:t>De</w:t>
      </w:r>
      <w:r>
        <w:rPr>
          <w:spacing w:val="-6"/>
        </w:rPr>
        <w:t> </w:t>
      </w:r>
      <w:r>
        <w:rPr/>
        <w:t>vigyázat,</w:t>
      </w:r>
      <w:r>
        <w:rPr>
          <w:spacing w:val="-4"/>
        </w:rPr>
        <w:t> </w:t>
      </w:r>
      <w:r>
        <w:rPr/>
        <w:t>három</w:t>
      </w:r>
      <w:r>
        <w:rPr>
          <w:spacing w:val="-2"/>
        </w:rPr>
        <w:t> </w:t>
      </w:r>
      <w:r>
        <w:rPr/>
        <w:t>dolog</w:t>
      </w:r>
      <w:r>
        <w:rPr>
          <w:spacing w:val="-5"/>
        </w:rPr>
        <w:t> </w:t>
      </w:r>
      <w:r>
        <w:rPr/>
        <w:t>nagyon</w:t>
      </w:r>
      <w:r>
        <w:rPr>
          <w:spacing w:val="-2"/>
        </w:rPr>
        <w:t> fontos.</w:t>
      </w:r>
    </w:p>
    <w:p>
      <w:pPr>
        <w:pStyle w:val="BodyText"/>
        <w:spacing w:line="360" w:lineRule="auto" w:before="254"/>
        <w:ind w:left="116" w:right="212"/>
        <w:jc w:val="both"/>
      </w:pPr>
      <w:r>
        <w:rPr/>
        <w:t>Az első az, hogy a kérdéssor magában nem egy kifinomult és részletes pszichológiai vizsgálat, hanem csak egy kérdéssor, aminek eredményén elgondolkodhatunk, de messzemenő következtetéseket</w:t>
      </w:r>
      <w:r>
        <w:rPr>
          <w:spacing w:val="40"/>
        </w:rPr>
        <w:t> </w:t>
      </w:r>
      <w:r>
        <w:rPr/>
        <w:t>nem vonhatunk le. A második egy pontosítás: előfordulhat, hogy különböző helyzetekben másféle stratégiát</w:t>
      </w:r>
      <w:r>
        <w:rPr>
          <w:spacing w:val="-2"/>
        </w:rPr>
        <w:t> </w:t>
      </w:r>
      <w:r>
        <w:rPr/>
        <w:t>alkalmazunk</w:t>
      </w:r>
      <w:r>
        <w:rPr>
          <w:spacing w:val="-1"/>
        </w:rPr>
        <w:t> </w:t>
      </w:r>
      <w:r>
        <w:rPr/>
        <w:t>(pl.</w:t>
      </w:r>
      <w:r>
        <w:rPr>
          <w:spacing w:val="-2"/>
        </w:rPr>
        <w:t> </w:t>
      </w:r>
      <w:r>
        <w:rPr/>
        <w:t>család</w:t>
      </w:r>
      <w:r>
        <w:rPr>
          <w:spacing w:val="-1"/>
        </w:rPr>
        <w:t> </w:t>
      </w:r>
      <w:r>
        <w:rPr/>
        <w:t>és</w:t>
      </w:r>
      <w:r>
        <w:rPr>
          <w:spacing w:val="-2"/>
        </w:rPr>
        <w:t> </w:t>
      </w:r>
      <w:r>
        <w:rPr/>
        <w:t>idegenek).</w:t>
      </w:r>
      <w:r>
        <w:rPr>
          <w:spacing w:val="-2"/>
        </w:rPr>
        <w:t> </w:t>
      </w:r>
      <w:r>
        <w:rPr/>
        <w:t>Ha felmerül</w:t>
      </w:r>
      <w:r>
        <w:rPr>
          <w:spacing w:val="-3"/>
        </w:rPr>
        <w:t> </w:t>
      </w:r>
      <w:r>
        <w:rPr/>
        <w:t>egyes</w:t>
      </w:r>
      <w:r>
        <w:rPr>
          <w:spacing w:val="-1"/>
        </w:rPr>
        <w:t> </w:t>
      </w:r>
      <w:r>
        <w:rPr/>
        <w:t>kérdéseknél, hogy</w:t>
      </w:r>
      <w:r>
        <w:rPr>
          <w:spacing w:val="-1"/>
        </w:rPr>
        <w:t> </w:t>
      </w:r>
      <w:r>
        <w:rPr/>
        <w:t>milyen</w:t>
      </w:r>
      <w:r>
        <w:rPr>
          <w:spacing w:val="-2"/>
        </w:rPr>
        <w:t> </w:t>
      </w:r>
      <w:r>
        <w:rPr/>
        <w:t>helyzetre vonatkozik a kérdés, érdemes egyféle helyzetre gondolva kitölteni az összes kérdést. A harmadik fontos dolog az, hogy ez az értékelés egy pillanatnyi állapotról mond valamit. Nem a személy megítélése,</w:t>
      </w:r>
      <w:r>
        <w:rPr>
          <w:spacing w:val="-2"/>
        </w:rPr>
        <w:t> </w:t>
      </w:r>
      <w:r>
        <w:rPr/>
        <w:t>csupán</w:t>
      </w:r>
      <w:r>
        <w:rPr>
          <w:spacing w:val="-3"/>
        </w:rPr>
        <w:t> </w:t>
      </w:r>
      <w:r>
        <w:rPr/>
        <w:t>annyi,</w:t>
      </w:r>
      <w:r>
        <w:rPr>
          <w:spacing w:val="-4"/>
        </w:rPr>
        <w:t> </w:t>
      </w:r>
      <w:r>
        <w:rPr/>
        <w:t>hogy</w:t>
      </w:r>
      <w:r>
        <w:rPr>
          <w:spacing w:val="-2"/>
        </w:rPr>
        <w:t> </w:t>
      </w:r>
      <w:r>
        <w:rPr/>
        <w:t>aktuálisan,</w:t>
      </w:r>
      <w:r>
        <w:rPr>
          <w:spacing w:val="-2"/>
        </w:rPr>
        <w:t> </w:t>
      </w:r>
      <w:r>
        <w:rPr/>
        <w:t>bizonyos</w:t>
      </w:r>
      <w:r>
        <w:rPr>
          <w:spacing w:val="-2"/>
        </w:rPr>
        <w:t> </w:t>
      </w:r>
      <w:r>
        <w:rPr/>
        <w:t>helyzetekben</w:t>
      </w:r>
      <w:r>
        <w:rPr>
          <w:spacing w:val="-5"/>
        </w:rPr>
        <w:t> </w:t>
      </w:r>
      <w:r>
        <w:rPr/>
        <w:t>milyen</w:t>
      </w:r>
      <w:r>
        <w:rPr>
          <w:spacing w:val="-2"/>
        </w:rPr>
        <w:t> </w:t>
      </w:r>
      <w:r>
        <w:rPr/>
        <w:t>stratégiákra</w:t>
      </w:r>
      <w:r>
        <w:rPr>
          <w:spacing w:val="-2"/>
        </w:rPr>
        <w:t> </w:t>
      </w:r>
      <w:r>
        <w:rPr/>
        <w:t>hajlunk</w:t>
      </w:r>
      <w:r>
        <w:rPr>
          <w:spacing w:val="-2"/>
        </w:rPr>
        <w:t> </w:t>
      </w:r>
      <w:r>
        <w:rPr/>
        <w:t>inkább. Abban</w:t>
      </w:r>
      <w:r>
        <w:rPr>
          <w:spacing w:val="-1"/>
        </w:rPr>
        <w:t> </w:t>
      </w:r>
      <w:r>
        <w:rPr/>
        <w:t>segíthet saját ösztönös válaszaink azonosítása,</w:t>
      </w:r>
      <w:r>
        <w:rPr>
          <w:spacing w:val="-2"/>
        </w:rPr>
        <w:t> </w:t>
      </w:r>
      <w:r>
        <w:rPr/>
        <w:t>hogy tudatosabban</w:t>
      </w:r>
      <w:r>
        <w:rPr>
          <w:spacing w:val="-1"/>
        </w:rPr>
        <w:t> </w:t>
      </w:r>
      <w:r>
        <w:rPr/>
        <w:t>tudjunk viselkedni.</w:t>
      </w:r>
      <w:r>
        <w:rPr>
          <w:spacing w:val="-1"/>
        </w:rPr>
        <w:t> </w:t>
      </w:r>
      <w:r>
        <w:rPr/>
        <w:t>Ugyanis ha tisztában vagyunk attitűdjeinkkel, ösztönös tendenciáinkkal, tudatosan készülhetünk a különböző helyzetekre, és azokban a helyzetekben, amikor ösztönös reakcióink kontra-produktívak, megtanulhatjuk kontrolálni őket. Amennyiben azokat a stratégiákat is megértjük, amelyek ellentétesek ösztönös működésünkkel, növeljük annak esélyét, hogy alkalmazni tudjuk őket akkor, amikor pont rájuk van szükség.</w:t>
      </w:r>
    </w:p>
    <w:p>
      <w:pPr>
        <w:pStyle w:val="BodyText"/>
        <w:spacing w:line="360" w:lineRule="auto" w:before="121"/>
        <w:ind w:left="116" w:right="219"/>
        <w:jc w:val="both"/>
      </w:pPr>
      <w:r>
        <w:rPr/>
        <w:t>Korábban már röviden összefoglaltam az öt alapstratégia lényegét. Itt most csak azt nézzük meg röviden, hogy mely helyzetekben lehet előnyös az alkalmazásuk:</w:t>
      </w:r>
    </w:p>
    <w:p>
      <w:pPr>
        <w:pStyle w:val="BodyText"/>
        <w:spacing w:before="133"/>
      </w:pPr>
    </w:p>
    <w:p>
      <w:pPr>
        <w:pStyle w:val="ListParagraph"/>
        <w:numPr>
          <w:ilvl w:val="0"/>
          <w:numId w:val="3"/>
        </w:numPr>
        <w:tabs>
          <w:tab w:pos="836" w:val="left" w:leader="none"/>
        </w:tabs>
        <w:spacing w:line="360" w:lineRule="auto" w:before="0" w:after="0"/>
        <w:ind w:left="836" w:right="216" w:hanging="360"/>
        <w:jc w:val="both"/>
        <w:rPr>
          <w:sz w:val="22"/>
        </w:rPr>
      </w:pPr>
      <w:r>
        <w:rPr>
          <w:sz w:val="22"/>
        </w:rPr>
        <w:t>Az elkerülő stratégia során kerüljük a konfrontálódást. Ha mindkét fél kitér, természetesen nem oldódik</w:t>
      </w:r>
      <w:r>
        <w:rPr>
          <w:spacing w:val="-2"/>
          <w:sz w:val="22"/>
        </w:rPr>
        <w:t> </w:t>
      </w:r>
      <w:r>
        <w:rPr>
          <w:sz w:val="22"/>
        </w:rPr>
        <w:t>meg a dolog. Ezért akkor érdemes alkalmazni, ha</w:t>
      </w:r>
      <w:r>
        <w:rPr>
          <w:spacing w:val="-2"/>
          <w:sz w:val="22"/>
        </w:rPr>
        <w:t> </w:t>
      </w:r>
      <w:r>
        <w:rPr>
          <w:sz w:val="22"/>
        </w:rPr>
        <w:t>olyan kérdésről van szó, amely nem lényeges, vagy élni tudunk vele és nem rejti magában az eszkaláció lehetőségét, vagy olyankor, amikor az adott pillanatban más kérdések sürgősebbek, vagy prioritást élveznek és az adott kérdésre bármikor vissza lehet majd térni.</w:t>
      </w:r>
    </w:p>
    <w:p>
      <w:pPr>
        <w:spacing w:after="0" w:line="360" w:lineRule="auto"/>
        <w:jc w:val="both"/>
        <w:rPr>
          <w:sz w:val="22"/>
        </w:rPr>
        <w:sectPr>
          <w:pgSz w:w="11910" w:h="16840"/>
          <w:pgMar w:header="0" w:footer="1002" w:top="1360" w:bottom="1200" w:left="1300" w:right="1200"/>
        </w:sectPr>
      </w:pPr>
    </w:p>
    <w:p>
      <w:pPr>
        <w:pStyle w:val="ListParagraph"/>
        <w:numPr>
          <w:ilvl w:val="0"/>
          <w:numId w:val="3"/>
        </w:numPr>
        <w:tabs>
          <w:tab w:pos="836" w:val="left" w:leader="none"/>
        </w:tabs>
        <w:spacing w:line="360" w:lineRule="auto" w:before="75" w:after="0"/>
        <w:ind w:left="836" w:right="213" w:hanging="360"/>
        <w:jc w:val="both"/>
        <w:rPr>
          <w:sz w:val="22"/>
        </w:rPr>
      </w:pPr>
      <w:r>
        <w:rPr>
          <w:sz w:val="22"/>
        </w:rPr>
        <w:t>Az alkalmazkodó stratégia engedékenységet jelent. A stratégiát alkalmazó lemond saját érdekei érvényesítéséről, vagy annak egy részéről, és átengedi a másik félnek az eredményt. Folyamatos alkalmazása természetesen még aszimmetrikus viszonyokban is megkérdőjelezhető. Előfordulhat azonban olyan helyzet, amikor egy nagyobb stratégiai keretben (pl. bizalomépítés) jó eszköz lehet.</w:t>
      </w:r>
    </w:p>
    <w:p>
      <w:pPr>
        <w:pStyle w:val="ListParagraph"/>
        <w:numPr>
          <w:ilvl w:val="0"/>
          <w:numId w:val="3"/>
        </w:numPr>
        <w:tabs>
          <w:tab w:pos="836" w:val="left" w:leader="none"/>
        </w:tabs>
        <w:spacing w:line="357" w:lineRule="auto" w:before="2" w:after="0"/>
        <w:ind w:left="836" w:right="212" w:hanging="360"/>
        <w:jc w:val="both"/>
        <w:rPr>
          <w:sz w:val="22"/>
        </w:rPr>
      </w:pPr>
      <w:r>
        <w:rPr>
          <w:sz w:val="22"/>
        </w:rPr>
        <w:t>A</w:t>
      </w:r>
      <w:r>
        <w:rPr>
          <w:spacing w:val="-1"/>
          <w:sz w:val="22"/>
        </w:rPr>
        <w:t> </w:t>
      </w:r>
      <w:r>
        <w:rPr>
          <w:sz w:val="22"/>
        </w:rPr>
        <w:t>versengő</w:t>
      </w:r>
      <w:r>
        <w:rPr>
          <w:spacing w:val="-2"/>
          <w:sz w:val="22"/>
        </w:rPr>
        <w:t> </w:t>
      </w:r>
      <w:r>
        <w:rPr>
          <w:sz w:val="22"/>
        </w:rPr>
        <w:t>stratégia</w:t>
      </w:r>
      <w:r>
        <w:rPr>
          <w:spacing w:val="-1"/>
          <w:sz w:val="22"/>
        </w:rPr>
        <w:t> </w:t>
      </w:r>
      <w:r>
        <w:rPr>
          <w:sz w:val="22"/>
        </w:rPr>
        <w:t>alkalmazója</w:t>
      </w:r>
      <w:r>
        <w:rPr>
          <w:spacing w:val="-4"/>
          <w:sz w:val="22"/>
        </w:rPr>
        <w:t> </w:t>
      </w:r>
      <w:r>
        <w:rPr>
          <w:sz w:val="22"/>
        </w:rPr>
        <w:t>arra</w:t>
      </w:r>
      <w:r>
        <w:rPr>
          <w:spacing w:val="-4"/>
          <w:sz w:val="22"/>
        </w:rPr>
        <w:t> </w:t>
      </w:r>
      <w:r>
        <w:rPr>
          <w:sz w:val="22"/>
        </w:rPr>
        <w:t>törekszik,</w:t>
      </w:r>
      <w:r>
        <w:rPr>
          <w:spacing w:val="-4"/>
          <w:sz w:val="22"/>
        </w:rPr>
        <w:t> </w:t>
      </w:r>
      <w:r>
        <w:rPr>
          <w:sz w:val="22"/>
        </w:rPr>
        <w:t>hogy</w:t>
      </w:r>
      <w:r>
        <w:rPr>
          <w:spacing w:val="-3"/>
          <w:sz w:val="22"/>
        </w:rPr>
        <w:t> </w:t>
      </w:r>
      <w:r>
        <w:rPr>
          <w:sz w:val="22"/>
        </w:rPr>
        <w:t>minden</w:t>
      </w:r>
      <w:r>
        <w:rPr>
          <w:spacing w:val="-4"/>
          <w:sz w:val="22"/>
        </w:rPr>
        <w:t> </w:t>
      </w:r>
      <w:r>
        <w:rPr>
          <w:sz w:val="22"/>
        </w:rPr>
        <w:t>előnyt</w:t>
      </w:r>
      <w:r>
        <w:rPr>
          <w:spacing w:val="-3"/>
          <w:sz w:val="22"/>
        </w:rPr>
        <w:t> </w:t>
      </w:r>
      <w:r>
        <w:rPr>
          <w:sz w:val="22"/>
        </w:rPr>
        <w:t>magának</w:t>
      </w:r>
      <w:r>
        <w:rPr>
          <w:spacing w:val="-3"/>
          <w:sz w:val="22"/>
        </w:rPr>
        <w:t> </w:t>
      </w:r>
      <w:r>
        <w:rPr>
          <w:sz w:val="22"/>
        </w:rPr>
        <w:t>szerezzen</w:t>
      </w:r>
      <w:r>
        <w:rPr>
          <w:spacing w:val="-4"/>
          <w:sz w:val="22"/>
        </w:rPr>
        <w:t> </w:t>
      </w:r>
      <w:r>
        <w:rPr>
          <w:sz w:val="22"/>
        </w:rPr>
        <w:t>meg. A versengő alkat gyakran alkalmazza, mert tárgyalásivagy konfliktushelyzetben számára a kapcsolatok</w:t>
      </w:r>
      <w:r>
        <w:rPr>
          <w:spacing w:val="40"/>
          <w:sz w:val="22"/>
        </w:rPr>
        <w:t> </w:t>
      </w:r>
      <w:r>
        <w:rPr>
          <w:sz w:val="22"/>
        </w:rPr>
        <w:t>kevésbé fontosak, mint az eredmények. Mások akkor alkalmazzák, amikor a másikhoz fűződő későbbi kapcsolat érdektelen, vagy már olyan ellentételekkel terhelt,</w:t>
      </w:r>
      <w:r>
        <w:rPr>
          <w:spacing w:val="40"/>
          <w:sz w:val="22"/>
        </w:rPr>
        <w:t> </w:t>
      </w:r>
      <w:r>
        <w:rPr>
          <w:sz w:val="22"/>
        </w:rPr>
        <w:t>amiből nem lát kiutat.</w:t>
      </w:r>
    </w:p>
    <w:p>
      <w:pPr>
        <w:pStyle w:val="ListParagraph"/>
        <w:numPr>
          <w:ilvl w:val="0"/>
          <w:numId w:val="3"/>
        </w:numPr>
        <w:tabs>
          <w:tab w:pos="836" w:val="left" w:leader="none"/>
        </w:tabs>
        <w:spacing w:line="360" w:lineRule="auto" w:before="13" w:after="0"/>
        <w:ind w:left="836" w:right="213" w:hanging="360"/>
        <w:jc w:val="both"/>
        <w:rPr>
          <w:sz w:val="22"/>
        </w:rPr>
      </w:pPr>
      <w:r>
        <w:rPr>
          <w:sz w:val="22"/>
        </w:rPr>
        <w:t>A</w:t>
      </w:r>
      <w:r>
        <w:rPr>
          <w:spacing w:val="-1"/>
          <w:sz w:val="22"/>
        </w:rPr>
        <w:t> </w:t>
      </w:r>
      <w:r>
        <w:rPr>
          <w:sz w:val="22"/>
        </w:rPr>
        <w:t>kompromisszumkereső</w:t>
      </w:r>
      <w:r>
        <w:rPr>
          <w:spacing w:val="-1"/>
          <w:sz w:val="22"/>
        </w:rPr>
        <w:t> </w:t>
      </w:r>
      <w:r>
        <w:rPr>
          <w:sz w:val="22"/>
        </w:rPr>
        <w:t>stratégia</w:t>
      </w:r>
      <w:r>
        <w:rPr>
          <w:spacing w:val="-4"/>
          <w:sz w:val="22"/>
        </w:rPr>
        <w:t> </w:t>
      </w:r>
      <w:r>
        <w:rPr>
          <w:sz w:val="22"/>
        </w:rPr>
        <w:t>alkalmazója</w:t>
      </w:r>
      <w:r>
        <w:rPr>
          <w:spacing w:val="-1"/>
          <w:sz w:val="22"/>
        </w:rPr>
        <w:t> </w:t>
      </w:r>
      <w:r>
        <w:rPr>
          <w:sz w:val="22"/>
        </w:rPr>
        <w:t>azzal</w:t>
      </w:r>
      <w:r>
        <w:rPr>
          <w:spacing w:val="-3"/>
          <w:sz w:val="22"/>
        </w:rPr>
        <w:t> </w:t>
      </w:r>
      <w:r>
        <w:rPr>
          <w:sz w:val="22"/>
        </w:rPr>
        <w:t>próbál</w:t>
      </w:r>
      <w:r>
        <w:rPr>
          <w:spacing w:val="-3"/>
          <w:sz w:val="22"/>
        </w:rPr>
        <w:t> </w:t>
      </w:r>
      <w:r>
        <w:rPr>
          <w:sz w:val="22"/>
        </w:rPr>
        <w:t>korrekt</w:t>
      </w:r>
      <w:r>
        <w:rPr>
          <w:spacing w:val="-3"/>
          <w:sz w:val="22"/>
        </w:rPr>
        <w:t> </w:t>
      </w:r>
      <w:r>
        <w:rPr>
          <w:sz w:val="22"/>
        </w:rPr>
        <w:t>és</w:t>
      </w:r>
      <w:r>
        <w:rPr>
          <w:spacing w:val="-3"/>
          <w:sz w:val="22"/>
        </w:rPr>
        <w:t> </w:t>
      </w:r>
      <w:r>
        <w:rPr>
          <w:sz w:val="22"/>
        </w:rPr>
        <w:t>konstruktív lenni,</w:t>
      </w:r>
      <w:r>
        <w:rPr>
          <w:spacing w:val="-1"/>
          <w:sz w:val="22"/>
        </w:rPr>
        <w:t> </w:t>
      </w:r>
      <w:r>
        <w:rPr>
          <w:sz w:val="22"/>
        </w:rPr>
        <w:t>hogy – a megoldás érdekében – lemond törekvései, érdekei egy részéről, és általa reálisnak, vagy igazságosnak tartott elosztási arányt próbál elérni. Az esetek nagy részében alkalmazható ez</w:t>
      </w:r>
      <w:r>
        <w:rPr>
          <w:spacing w:val="40"/>
          <w:sz w:val="22"/>
        </w:rPr>
        <w:t> </w:t>
      </w:r>
      <w:r>
        <w:rPr>
          <w:sz w:val="22"/>
        </w:rPr>
        <w:t>a stratégia, és nem okoz komoly terhet a kapcsolatban akkor, ha a másik fél gondolkodása is hasonló. Látni kell azonban, hogy bár a kompromisszum gyorsan megköthető és igazságos is lehet, egészen mást jelent, mint a problémamegoldó stratégia, és nem is biztosítja az együttműködéssel elérhető előnyöket.</w:t>
      </w:r>
    </w:p>
    <w:p>
      <w:pPr>
        <w:pStyle w:val="ListParagraph"/>
        <w:numPr>
          <w:ilvl w:val="0"/>
          <w:numId w:val="3"/>
        </w:numPr>
        <w:tabs>
          <w:tab w:pos="836" w:val="left" w:leader="none"/>
        </w:tabs>
        <w:spacing w:line="357" w:lineRule="auto" w:before="0" w:after="0"/>
        <w:ind w:left="836" w:right="215" w:hanging="360"/>
        <w:jc w:val="both"/>
        <w:rPr>
          <w:sz w:val="22"/>
        </w:rPr>
      </w:pPr>
      <w:r>
        <w:rPr>
          <w:sz w:val="22"/>
        </w:rPr>
        <w:t>A problémamegoldó stratégiát már részletesen tárgyaltuk. Itt talán annyit érdemes hozzátenni, mert erre a zárófejezetben visszatérünk, hogy alapvetően asszertív magatartást igényel: érdek-tudatosságot, nyílt kommunikációt, a másik elfogadását és tiszteletét, és az erre épülő együttműködést.</w:t>
      </w:r>
    </w:p>
    <w:p>
      <w:pPr>
        <w:pStyle w:val="BodyText"/>
      </w:pPr>
    </w:p>
    <w:p>
      <w:pPr>
        <w:pStyle w:val="BodyText"/>
        <w:spacing w:before="78"/>
      </w:pPr>
    </w:p>
    <w:p>
      <w:pPr>
        <w:pStyle w:val="Heading3"/>
        <w:numPr>
          <w:ilvl w:val="2"/>
          <w:numId w:val="1"/>
        </w:numPr>
        <w:tabs>
          <w:tab w:pos="2993" w:val="left" w:leader="none"/>
        </w:tabs>
        <w:spacing w:line="240" w:lineRule="auto" w:before="0" w:after="0"/>
        <w:ind w:left="2993" w:right="0" w:hanging="717"/>
        <w:jc w:val="left"/>
        <w:rPr>
          <w:rFonts w:ascii="Cambria" w:hAnsi="Cambria"/>
        </w:rPr>
      </w:pPr>
      <w:r>
        <w:rPr>
          <w:rFonts w:ascii="Cambria" w:hAnsi="Cambria"/>
          <w:color w:val="4F81BC"/>
        </w:rPr>
        <w:t>Az</w:t>
      </w:r>
      <w:r>
        <w:rPr>
          <w:rFonts w:ascii="Cambria" w:hAnsi="Cambria"/>
          <w:color w:val="4F81BC"/>
          <w:spacing w:val="-3"/>
        </w:rPr>
        <w:t> </w:t>
      </w:r>
      <w:r>
        <w:rPr>
          <w:rFonts w:ascii="Cambria" w:hAnsi="Cambria"/>
          <w:color w:val="4F81BC"/>
          <w:spacing w:val="-2"/>
        </w:rPr>
        <w:t>asszertivitás</w:t>
      </w:r>
    </w:p>
    <w:p>
      <w:pPr>
        <w:pStyle w:val="BodyText"/>
        <w:rPr>
          <w:rFonts w:ascii="Cambria"/>
          <w:b/>
        </w:rPr>
      </w:pPr>
    </w:p>
    <w:p>
      <w:pPr>
        <w:pStyle w:val="BodyText"/>
        <w:spacing w:before="13"/>
        <w:rPr>
          <w:rFonts w:ascii="Cambria"/>
          <w:b/>
        </w:rPr>
      </w:pPr>
    </w:p>
    <w:p>
      <w:pPr>
        <w:pStyle w:val="BodyText"/>
        <w:spacing w:line="360" w:lineRule="auto"/>
        <w:ind w:left="116" w:right="211"/>
        <w:jc w:val="both"/>
      </w:pPr>
      <w:r>
        <w:rPr/>
        <w:t>Az asszertivitás olyan viselkedés, amely ötvözi az önérvényesítést és mások érdekeinek tiszteletét. Az asszertív fél vállalja saját gondolatainak, céljainak és érzelmeinek kifejezését és képviseletét. Nyíltan kommunikál és aktív lépéseket tesz annak érdekében, hogy céljait úgy érje el, hogy közben tiszteletben tartja a másikat és figyelembe veszi elképzeléseit, céljait és érzelmeit. Ezzel lehetőséget teremt az együttműködő és kreatív megoldásra. Hosszan lehetne még írni az asszertivitásról, de – mivel nem ez a témánk - most feltételezzük, hogy a fogalom mindenkinek ismerős, vagy ha nem, utána tud nézni más forrásokban. Számunkra itt most csak az a fontos, hogy a szubsztantív és kapcsolati eredményeket tartalmazó diagramban az asszertív személyiség a jobb felső sarok, a problémamegoldó stratégia irányába törekszik.</w:t>
      </w:r>
    </w:p>
    <w:p>
      <w:pPr>
        <w:spacing w:after="0" w:line="360" w:lineRule="auto"/>
        <w:jc w:val="both"/>
        <w:sectPr>
          <w:pgSz w:w="11910" w:h="16840"/>
          <w:pgMar w:header="0" w:footer="1002" w:top="1320" w:bottom="1200" w:left="1300" w:right="1200"/>
        </w:sectPr>
      </w:pPr>
    </w:p>
    <w:p>
      <w:pPr>
        <w:pStyle w:val="Heading2"/>
        <w:numPr>
          <w:ilvl w:val="1"/>
          <w:numId w:val="4"/>
        </w:numPr>
        <w:tabs>
          <w:tab w:pos="599" w:val="left" w:leader="none"/>
        </w:tabs>
        <w:spacing w:line="240" w:lineRule="auto" w:before="80" w:after="0"/>
        <w:ind w:left="599" w:right="0" w:hanging="483"/>
        <w:jc w:val="left"/>
      </w:pPr>
      <w:r>
        <w:rPr>
          <w:color w:val="4F81BC"/>
        </w:rPr>
        <w:t>Az</w:t>
      </w:r>
      <w:r>
        <w:rPr>
          <w:color w:val="4F81BC"/>
          <w:spacing w:val="-3"/>
        </w:rPr>
        <w:t> </w:t>
      </w:r>
      <w:r>
        <w:rPr>
          <w:color w:val="4F81BC"/>
          <w:spacing w:val="-2"/>
        </w:rPr>
        <w:t>értékteremtés</w:t>
      </w:r>
    </w:p>
    <w:p>
      <w:pPr>
        <w:pStyle w:val="BodyText"/>
        <w:rPr>
          <w:rFonts w:ascii="Cambria"/>
          <w:b/>
          <w:sz w:val="26"/>
        </w:rPr>
      </w:pPr>
    </w:p>
    <w:p>
      <w:pPr>
        <w:pStyle w:val="BodyText"/>
        <w:spacing w:before="143"/>
        <w:rPr>
          <w:rFonts w:ascii="Cambria"/>
          <w:b/>
          <w:sz w:val="26"/>
        </w:rPr>
      </w:pPr>
    </w:p>
    <w:p>
      <w:pPr>
        <w:pStyle w:val="BodyText"/>
        <w:spacing w:line="360" w:lineRule="auto"/>
        <w:ind w:left="116" w:right="211"/>
        <w:jc w:val="both"/>
      </w:pPr>
      <w:r>
        <w:rPr/>
        <w:t>Nem kérdés, hogy az együttműködés mellett mindeddig a másik kulcsfogalmunk az értékteremtés volt. Ezért érdemes e fogalom jelentését kicsit részletesebben körbejárni. Nézzünk egy híres példát, amely jól megvilágítja az értékteremtés értelmét. A híres Tojásvásárló játékot</w:t>
      </w:r>
      <w:r>
        <w:rPr>
          <w:vertAlign w:val="superscript"/>
        </w:rPr>
        <w:t>13</w:t>
      </w:r>
      <w:r>
        <w:rPr>
          <w:spacing w:val="-2"/>
          <w:vertAlign w:val="baseline"/>
        </w:rPr>
        <w:t> </w:t>
      </w:r>
      <w:r>
        <w:rPr>
          <w:vertAlign w:val="baseline"/>
        </w:rPr>
        <w:t>nagyon sok neves üzleti iskolában eljátszatják a hallgatókkal valamilyen formában. A szerepjáték keretében két üzletember, aki két rivális gyógyszercégnek dolgozik, tárgyal egy ritka madárfajta egyetlen olyan tulajdonosával, aki tojásokat termel piacra. Mindkét cég olyan alapanyagot használ, ami ennek a madárfajtának a</w:t>
      </w:r>
      <w:r>
        <w:rPr>
          <w:spacing w:val="-2"/>
          <w:vertAlign w:val="baseline"/>
        </w:rPr>
        <w:t> </w:t>
      </w:r>
      <w:r>
        <w:rPr>
          <w:vertAlign w:val="baseline"/>
        </w:rPr>
        <w:t>tojásából</w:t>
      </w:r>
      <w:r>
        <w:rPr>
          <w:spacing w:val="-2"/>
          <w:vertAlign w:val="baseline"/>
        </w:rPr>
        <w:t> </w:t>
      </w:r>
      <w:r>
        <w:rPr>
          <w:vertAlign w:val="baseline"/>
        </w:rPr>
        <w:t>vonható</w:t>
      </w:r>
      <w:r>
        <w:rPr>
          <w:spacing w:val="-1"/>
          <w:vertAlign w:val="baseline"/>
        </w:rPr>
        <w:t> </w:t>
      </w:r>
      <w:r>
        <w:rPr>
          <w:vertAlign w:val="baseline"/>
        </w:rPr>
        <w:t>ki.</w:t>
      </w:r>
      <w:r>
        <w:rPr>
          <w:spacing w:val="-1"/>
          <w:vertAlign w:val="baseline"/>
        </w:rPr>
        <w:t> </w:t>
      </w:r>
      <w:r>
        <w:rPr>
          <w:vertAlign w:val="baseline"/>
        </w:rPr>
        <w:t>A két üzletember –</w:t>
      </w:r>
      <w:r>
        <w:rPr>
          <w:spacing w:val="-1"/>
          <w:vertAlign w:val="baseline"/>
        </w:rPr>
        <w:t> </w:t>
      </w:r>
      <w:r>
        <w:rPr>
          <w:vertAlign w:val="baseline"/>
        </w:rPr>
        <w:t>ki-ki saját cégétől - utasítást</w:t>
      </w:r>
      <w:r>
        <w:rPr>
          <w:spacing w:val="-2"/>
          <w:vertAlign w:val="baseline"/>
        </w:rPr>
        <w:t> </w:t>
      </w:r>
      <w:r>
        <w:rPr>
          <w:vertAlign w:val="baseline"/>
        </w:rPr>
        <w:t>kap, hogy több ezer tojást vásároljon. A keretjátékban persze nem ismerik egymást, nem ismerik azt az utasítást se, amit a másik üzletember a saját cégétől kapott, de egy ponton kiderül számukra, hogy mindkettőjük célja, hogy ebből az egzotikus tojásból vásároljanak.</w:t>
      </w:r>
    </w:p>
    <w:p>
      <w:pPr>
        <w:pStyle w:val="BodyText"/>
        <w:spacing w:line="360" w:lineRule="auto" w:before="201"/>
        <w:ind w:left="116" w:right="211"/>
        <w:jc w:val="both"/>
      </w:pPr>
      <w:r>
        <w:rPr/>
        <w:t>Az is kiderül, hogy a madártulajdonosnak korlátozott mennyiségű tojása van. Nem tudja mindkét rendelést kielégíteni. Bár az üzletemberek szerepleírásaiban benne van az információ, hogy a tojás mely részére van szüksége az adott cégnek, a tapasztalatok mégis azt mutatják, hogy a játékosok az esetek 95%-ban harcolni kezdenek a tojások megszerzéséért. Különböző – előbb-utóbb ellenséges - stratégiákat vetnek be a másik kiszorítására.</w:t>
      </w:r>
      <w:r>
        <w:rPr>
          <w:spacing w:val="40"/>
        </w:rPr>
        <w:t> </w:t>
      </w:r>
      <w:r>
        <w:rPr/>
        <w:t>Mindössze a csapatok 5%-a fedezi fel, hogy a tojás más alkotóelemére van szüksége a két rivális cégnek, így mindenki igénye kielégíthető lenne. Mivel a játékosok nagy része egydimenziós, versengő tárgyalásba kezd, nem figyel fel a szerepleírásba rejtett információkra, és ezért kezd harcolni. A játék alkalmas arra, hogy ráébressze a magabiztos</w:t>
      </w:r>
      <w:r>
        <w:rPr>
          <w:spacing w:val="40"/>
        </w:rPr>
        <w:t> </w:t>
      </w:r>
      <w:r>
        <w:rPr/>
        <w:t>üzletember palántákat és üzletembereket a versengő, pozíció alapú tárgyalás korlátaira.</w:t>
      </w:r>
    </w:p>
    <w:p>
      <w:pPr>
        <w:pStyle w:val="BodyText"/>
        <w:spacing w:line="360" w:lineRule="auto" w:before="201"/>
        <w:ind w:left="116" w:right="212"/>
        <w:jc w:val="both"/>
      </w:pPr>
      <w:r>
        <w:rPr/>
        <w:t>A Tojásvásárló játék kitűnő alkalom nemcsak a versengés csapdájának bemutatására, de arra is, hogy mennyire fontos az információk, érdekek és szükségletek pontos feltárása. Tovább kell látni a saját pozíciónál, mert könnyen lehet, hogy a másik fél másféle elképzelések alapján dolgozik, így harc helyett akár össze is illeszthetjük a vágyainkat. Jó eséllyel okosabb megoldás születhet, ha pontosan értjük a másik érdekeit.</w:t>
      </w:r>
    </w:p>
    <w:p>
      <w:pPr>
        <w:pStyle w:val="BodyText"/>
        <w:spacing w:line="360" w:lineRule="auto" w:before="202"/>
        <w:ind w:left="116" w:right="211"/>
        <w:jc w:val="both"/>
      </w:pPr>
      <w:r>
        <w:rPr/>
        <w:t>Ezen az egyszerű példán keresztül lehet pontosan megérteni, hogy mit jelent a zéró-összegű feltételezés. Ebben a játékban például azt jelenti, hogy nemcsak azt feltételezem, hogy a másik ugyanazt akarja, mint én, de azt is, hogy, amit ő megszerez, az az én veszteségem. Vagyis minden tojás, amit ő tud megszerezni, engem rövidít meg. Így harcolnom kell a tojásaimért. Ez persze igaz is,</w:t>
      </w:r>
    </w:p>
    <w:p>
      <w:pPr>
        <w:pStyle w:val="BodyText"/>
        <w:spacing w:before="6"/>
        <w:rPr>
          <w:sz w:val="6"/>
        </w:rPr>
      </w:pPr>
      <w:r>
        <w:rPr/>
        <mc:AlternateContent>
          <mc:Choice Requires="wps">
            <w:drawing>
              <wp:anchor distT="0" distB="0" distL="0" distR="0" allowOverlap="1" layoutInCell="1" locked="0" behindDoc="1" simplePos="0" relativeHeight="487594496">
                <wp:simplePos x="0" y="0"/>
                <wp:positionH relativeFrom="page">
                  <wp:posOffset>899464</wp:posOffset>
                </wp:positionH>
                <wp:positionV relativeFrom="paragraph">
                  <wp:posOffset>65569</wp:posOffset>
                </wp:positionV>
                <wp:extent cx="1829435" cy="9525"/>
                <wp:effectExtent l="0" t="0" r="0" b="0"/>
                <wp:wrapTopAndBottom/>
                <wp:docPr id="22" name="Graphic 22"/>
                <wp:cNvGraphicFramePr>
                  <a:graphicFrameLocks/>
                </wp:cNvGraphicFramePr>
                <a:graphic>
                  <a:graphicData uri="http://schemas.microsoft.com/office/word/2010/wordprocessingShape">
                    <wps:wsp>
                      <wps:cNvPr id="22" name="Graphic 22"/>
                      <wps:cNvSpPr/>
                      <wps:spPr>
                        <a:xfrm>
                          <a:off x="0" y="0"/>
                          <a:ext cx="1829435" cy="9525"/>
                        </a:xfrm>
                        <a:custGeom>
                          <a:avLst/>
                          <a:gdLst/>
                          <a:ahLst/>
                          <a:cxnLst/>
                          <a:rect l="l" t="t" r="r" b="b"/>
                          <a:pathLst>
                            <a:path w="1829435" h="9525">
                              <a:moveTo>
                                <a:pt x="1829053" y="0"/>
                              </a:moveTo>
                              <a:lnTo>
                                <a:pt x="0" y="0"/>
                              </a:lnTo>
                              <a:lnTo>
                                <a:pt x="0" y="9144"/>
                              </a:lnTo>
                              <a:lnTo>
                                <a:pt x="1829053" y="9144"/>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823997pt;margin-top:5.162958pt;width:144.020pt;height:.72003pt;mso-position-horizontal-relative:page;mso-position-vertical-relative:paragraph;z-index:-15721984;mso-wrap-distance-left:0;mso-wrap-distance-right:0" id="docshape21" filled="true" fillcolor="#000000" stroked="false">
                <v:fill type="solid"/>
                <w10:wrap type="topAndBottom"/>
              </v:rect>
            </w:pict>
          </mc:Fallback>
        </mc:AlternateContent>
      </w:r>
    </w:p>
    <w:p>
      <w:pPr>
        <w:spacing w:before="102"/>
        <w:ind w:left="116" w:right="0" w:firstLine="0"/>
        <w:jc w:val="left"/>
        <w:rPr>
          <w:sz w:val="20"/>
        </w:rPr>
      </w:pPr>
      <w:r>
        <w:rPr>
          <w:sz w:val="20"/>
          <w:vertAlign w:val="superscript"/>
        </w:rPr>
        <w:t>13</w:t>
      </w:r>
      <w:r>
        <w:rPr>
          <w:spacing w:val="-7"/>
          <w:sz w:val="20"/>
          <w:vertAlign w:val="baseline"/>
        </w:rPr>
        <w:t> </w:t>
      </w:r>
      <w:r>
        <w:rPr>
          <w:sz w:val="20"/>
          <w:vertAlign w:val="baseline"/>
        </w:rPr>
        <w:t>Egg</w:t>
      </w:r>
      <w:r>
        <w:rPr>
          <w:spacing w:val="-7"/>
          <w:sz w:val="20"/>
          <w:vertAlign w:val="baseline"/>
        </w:rPr>
        <w:t> </w:t>
      </w:r>
      <w:r>
        <w:rPr>
          <w:sz w:val="20"/>
          <w:vertAlign w:val="baseline"/>
        </w:rPr>
        <w:t>purchase</w:t>
      </w:r>
      <w:r>
        <w:rPr>
          <w:spacing w:val="-8"/>
          <w:sz w:val="20"/>
          <w:vertAlign w:val="baseline"/>
        </w:rPr>
        <w:t> </w:t>
      </w:r>
      <w:r>
        <w:rPr>
          <w:sz w:val="20"/>
          <w:vertAlign w:val="baseline"/>
        </w:rPr>
        <w:t>or</w:t>
      </w:r>
      <w:r>
        <w:rPr>
          <w:spacing w:val="-6"/>
          <w:sz w:val="20"/>
          <w:vertAlign w:val="baseline"/>
        </w:rPr>
        <w:t> </w:t>
      </w:r>
      <w:r>
        <w:rPr>
          <w:sz w:val="20"/>
          <w:vertAlign w:val="baseline"/>
        </w:rPr>
        <w:t>Commodity</w:t>
      </w:r>
      <w:r>
        <w:rPr>
          <w:spacing w:val="-6"/>
          <w:sz w:val="20"/>
          <w:vertAlign w:val="baseline"/>
        </w:rPr>
        <w:t> </w:t>
      </w:r>
      <w:r>
        <w:rPr>
          <w:sz w:val="20"/>
          <w:vertAlign w:val="baseline"/>
        </w:rPr>
        <w:t>Purchase</w:t>
      </w:r>
      <w:r>
        <w:rPr>
          <w:spacing w:val="-8"/>
          <w:sz w:val="20"/>
          <w:vertAlign w:val="baseline"/>
        </w:rPr>
        <w:t> </w:t>
      </w:r>
      <w:r>
        <w:rPr>
          <w:spacing w:val="-4"/>
          <w:sz w:val="20"/>
          <w:vertAlign w:val="baseline"/>
        </w:rPr>
        <w:t>Game.</w:t>
      </w:r>
    </w:p>
    <w:p>
      <w:pPr>
        <w:spacing w:after="0"/>
        <w:jc w:val="left"/>
        <w:rPr>
          <w:sz w:val="20"/>
        </w:rPr>
        <w:sectPr>
          <w:pgSz w:w="11910" w:h="16840"/>
          <w:pgMar w:header="0" w:footer="1002" w:top="1920" w:bottom="1200" w:left="1300" w:right="1200"/>
        </w:sectPr>
      </w:pPr>
    </w:p>
    <w:p>
      <w:pPr>
        <w:pStyle w:val="BodyText"/>
        <w:spacing w:line="360" w:lineRule="auto" w:before="34"/>
        <w:ind w:left="116" w:right="216"/>
        <w:jc w:val="both"/>
      </w:pPr>
      <w:r>
        <w:rPr/>
        <w:t>mindaddig, amíg a cél a tojás, és nem a kinyerhető alapanyagok. Ha azonban először térképeznek, és kiderül, hogy nem ugyanarra az alkotórészre van szükségük, hirtelen nem lesz már igaz ez a feltételezés. Elvben kétszer annyi előnyt tartalmaznak a tojások.</w:t>
      </w:r>
      <w:r>
        <w:rPr>
          <w:spacing w:val="40"/>
        </w:rPr>
        <w:t> </w:t>
      </w:r>
      <w:r>
        <w:rPr/>
        <w:t>Megtörtént az értékteremtés a versengő megoldáshoz képest. Persze nem a tojásokat kétszereztük meg, hanem a belőlük</w:t>
      </w:r>
      <w:r>
        <w:rPr>
          <w:spacing w:val="40"/>
        </w:rPr>
        <w:t> </w:t>
      </w:r>
      <w:r>
        <w:rPr/>
        <w:t>kinyerhető értékeket azzal, hogy ugyanannak a tojásnak két különböző részét használjuk.</w:t>
      </w:r>
    </w:p>
    <w:p>
      <w:pPr>
        <w:pStyle w:val="BodyText"/>
        <w:spacing w:line="360" w:lineRule="auto" w:before="202"/>
        <w:ind w:left="116" w:right="211"/>
        <w:jc w:val="both"/>
      </w:pPr>
      <w:r>
        <w:rPr/>
        <w:t>Az értékteremtő stratégia első fázisa egy detektív megközelítéséhez hasonlít. A tárgyaló nem a másik pozíciójáról kialakított saját feltételezésére alapozza stratégiáját, mint a pozíció alapú, versengő tárgyaló, hanem azzal indítja a folyamatot, hogy</w:t>
      </w:r>
      <w:r>
        <w:rPr>
          <w:spacing w:val="-1"/>
        </w:rPr>
        <w:t> </w:t>
      </w:r>
      <w:r>
        <w:rPr/>
        <w:t>megpróbálja minél pontosabban</w:t>
      </w:r>
      <w:r>
        <w:rPr>
          <w:spacing w:val="-1"/>
        </w:rPr>
        <w:t> </w:t>
      </w:r>
      <w:r>
        <w:rPr/>
        <w:t>kideríteni, hogy mit akar a másik és miért. Nemcsak a másik pozíciója érdekli, hanem</w:t>
      </w:r>
      <w:r>
        <w:rPr>
          <w:spacing w:val="40"/>
        </w:rPr>
        <w:t> </w:t>
      </w:r>
      <w:r>
        <w:rPr/>
        <w:t>meg akarja érteni azt is, hogy a másik miért választotta az adott pozíciót: milyen érdekek, indítékok, esetleg korlátok diktálják a követeléseit? Azért akar mindent megérteni, hogy feltérképezze a lehetőségeket az értékteremtésre. És persze nem csak térképez, hanem meg is oszt információkat saját érdekeiről és szükségleteiről annak érdekében, hogy a másik is gondolkodhasson és mérlegelhessen. Hiszen a feltáráson és a</w:t>
      </w:r>
      <w:r>
        <w:rPr>
          <w:spacing w:val="40"/>
        </w:rPr>
        <w:t> </w:t>
      </w:r>
      <w:r>
        <w:rPr/>
        <w:t>közös gondolkodáson keresztül teremtett értékek növelik a felosztható hasznot, és a helyzet pontos ismerete segíthet abban, hogy pont azt vigye mindenki, amire igazán szüksége van.</w:t>
      </w:r>
    </w:p>
    <w:p>
      <w:pPr>
        <w:pStyle w:val="BodyText"/>
        <w:spacing w:line="360" w:lineRule="auto" w:before="201"/>
        <w:ind w:left="116" w:right="213"/>
        <w:jc w:val="both"/>
      </w:pPr>
      <w:r>
        <w:rPr/>
        <w:t>Azért hoztam ezt az egyszerű példát, mert jól mutatja, hogy a tárgyalásban az értékteremtés nem kívülről jön. Nem ajándék. Abból keletkezik, hogy sokfélék vagyunk, tudjuk és elfogadjuk ezt. Azzal, hogy nyitottsággal és alázattal közelítünk a másik fél preferenciája felé, lehetőséget teremtünk arra, hogy megossza velünk a elképzeléseit, és lehetőséget teremtünk arra, hogy jobb megoldások szülessenek. Márpedig a jó megoldás az, ami mindenki számára elfogadható és mindenki érdekének megfelel. Erős és tartós megállapodást szül, amelynek betartása vagy megvalósítása mindkét fél érdekében áll.</w:t>
      </w:r>
    </w:p>
    <w:p>
      <w:pPr>
        <w:pStyle w:val="BodyText"/>
        <w:spacing w:line="362" w:lineRule="auto" w:before="200"/>
        <w:ind w:left="116" w:right="212"/>
        <w:jc w:val="both"/>
      </w:pPr>
      <w:r>
        <w:rPr/>
        <w:t>Az</w:t>
      </w:r>
      <w:r>
        <w:rPr>
          <w:spacing w:val="-1"/>
        </w:rPr>
        <w:t> </w:t>
      </w:r>
      <w:r>
        <w:rPr/>
        <w:t>első fejezetben az</w:t>
      </w:r>
      <w:r>
        <w:rPr>
          <w:spacing w:val="-1"/>
        </w:rPr>
        <w:t> </w:t>
      </w:r>
      <w:r>
        <w:rPr/>
        <w:t>együttműködő</w:t>
      </w:r>
      <w:r>
        <w:rPr>
          <w:spacing w:val="-1"/>
        </w:rPr>
        <w:t> </w:t>
      </w:r>
      <w:r>
        <w:rPr/>
        <w:t>és</w:t>
      </w:r>
      <w:r>
        <w:rPr>
          <w:spacing w:val="-1"/>
        </w:rPr>
        <w:t> </w:t>
      </w:r>
      <w:r>
        <w:rPr/>
        <w:t>értékteremtő folyamat,</w:t>
      </w:r>
      <w:r>
        <w:rPr>
          <w:spacing w:val="-2"/>
        </w:rPr>
        <w:t> </w:t>
      </w:r>
      <w:r>
        <w:rPr/>
        <w:t>erkölcsi</w:t>
      </w:r>
      <w:r>
        <w:rPr>
          <w:spacing w:val="-2"/>
        </w:rPr>
        <w:t> </w:t>
      </w:r>
      <w:r>
        <w:rPr/>
        <w:t>alapjáról írtam. Itt, a</w:t>
      </w:r>
      <w:r>
        <w:rPr>
          <w:spacing w:val="-2"/>
        </w:rPr>
        <w:t> </w:t>
      </w:r>
      <w:r>
        <w:rPr/>
        <w:t>második fejezetben a gyakorlati következményeket foglaltam össze.</w:t>
      </w:r>
    </w:p>
    <w:p>
      <w:pPr>
        <w:pStyle w:val="BodyText"/>
      </w:pPr>
    </w:p>
    <w:p>
      <w:pPr>
        <w:pStyle w:val="BodyText"/>
        <w:spacing w:before="261"/>
      </w:pPr>
    </w:p>
    <w:p>
      <w:pPr>
        <w:pStyle w:val="Heading2"/>
        <w:numPr>
          <w:ilvl w:val="1"/>
          <w:numId w:val="4"/>
        </w:numPr>
        <w:tabs>
          <w:tab w:pos="600" w:val="left" w:leader="none"/>
        </w:tabs>
        <w:spacing w:line="240" w:lineRule="auto" w:before="0" w:after="0"/>
        <w:ind w:left="600" w:right="0" w:hanging="484"/>
        <w:jc w:val="left"/>
      </w:pPr>
      <w:r>
        <w:rPr>
          <w:color w:val="4F81BC"/>
        </w:rPr>
        <w:t>Az</w:t>
      </w:r>
      <w:r>
        <w:rPr>
          <w:color w:val="4F81BC"/>
          <w:spacing w:val="-11"/>
        </w:rPr>
        <w:t> </w:t>
      </w:r>
      <w:r>
        <w:rPr>
          <w:color w:val="4F81BC"/>
        </w:rPr>
        <w:t>értékteremtés</w:t>
      </w:r>
      <w:r>
        <w:rPr>
          <w:color w:val="4F81BC"/>
          <w:spacing w:val="-11"/>
        </w:rPr>
        <w:t> </w:t>
      </w:r>
      <w:r>
        <w:rPr>
          <w:color w:val="4F81BC"/>
          <w:spacing w:val="-2"/>
        </w:rPr>
        <w:t>feltételei</w:t>
      </w:r>
    </w:p>
    <w:p>
      <w:pPr>
        <w:pStyle w:val="BodyText"/>
        <w:rPr>
          <w:rFonts w:ascii="Cambria"/>
          <w:b/>
          <w:sz w:val="26"/>
        </w:rPr>
      </w:pPr>
    </w:p>
    <w:p>
      <w:pPr>
        <w:pStyle w:val="BodyText"/>
        <w:spacing w:before="145"/>
        <w:rPr>
          <w:rFonts w:ascii="Cambria"/>
          <w:b/>
          <w:sz w:val="26"/>
        </w:rPr>
      </w:pPr>
    </w:p>
    <w:p>
      <w:pPr>
        <w:pStyle w:val="BodyText"/>
        <w:spacing w:line="362" w:lineRule="auto"/>
        <w:ind w:left="116" w:right="215"/>
        <w:jc w:val="both"/>
      </w:pPr>
      <w:r>
        <w:rPr/>
        <w:t>Most, hogy már világos az értékteremtés folyamata, és az, hogy az érték attól jön létre, hogy az érintettek elvárásaihoz és preferenciáihoz jobban illeszkedő megoldást találunk, aránylag egyszerű</w:t>
      </w:r>
      <w:r>
        <w:rPr>
          <w:spacing w:val="40"/>
        </w:rPr>
        <w:t> </w:t>
      </w:r>
      <w:r>
        <w:rPr/>
        <w:t>azt is végiggondolni, hogy mik az értékteremtő folyamat feltételei.</w:t>
      </w:r>
    </w:p>
    <w:p>
      <w:pPr>
        <w:spacing w:after="0" w:line="362" w:lineRule="auto"/>
        <w:jc w:val="both"/>
        <w:sectPr>
          <w:pgSz w:w="11910" w:h="16840"/>
          <w:pgMar w:header="0" w:footer="1002" w:top="1360" w:bottom="1200" w:left="1300" w:right="1200"/>
        </w:sectPr>
      </w:pPr>
    </w:p>
    <w:p>
      <w:pPr>
        <w:pStyle w:val="BodyText"/>
        <w:spacing w:line="360" w:lineRule="auto" w:before="34"/>
        <w:ind w:left="116" w:right="213"/>
        <w:jc w:val="both"/>
      </w:pPr>
      <w:r>
        <w:rPr/>
        <w:t>Eddig arról volt szó, hogy az együttműködő tárgyalás ereje abban rejlik, hogy a megoldást és felosztást nem a másik fél, vagy a többiek álláspontjáról való feltételezésekre alapozzuk, hanem kiderítjük</w:t>
      </w:r>
      <w:r>
        <w:rPr>
          <w:spacing w:val="-2"/>
        </w:rPr>
        <w:t> </w:t>
      </w:r>
      <w:r>
        <w:rPr/>
        <w:t>a tényleges</w:t>
      </w:r>
      <w:r>
        <w:rPr>
          <w:spacing w:val="-1"/>
        </w:rPr>
        <w:t> </w:t>
      </w:r>
      <w:r>
        <w:rPr/>
        <w:t>mozgatórugókat.</w:t>
      </w:r>
      <w:r>
        <w:rPr>
          <w:spacing w:val="40"/>
        </w:rPr>
        <w:t> </w:t>
      </w:r>
      <w:r>
        <w:rPr/>
        <w:t>Ezt</w:t>
      </w:r>
      <w:r>
        <w:rPr>
          <w:spacing w:val="-2"/>
        </w:rPr>
        <w:t> </w:t>
      </w:r>
      <w:r>
        <w:rPr/>
        <w:t>egyszerű</w:t>
      </w:r>
      <w:r>
        <w:rPr>
          <w:spacing w:val="-2"/>
        </w:rPr>
        <w:t> </w:t>
      </w:r>
      <w:r>
        <w:rPr/>
        <w:t>kimondani,</w:t>
      </w:r>
      <w:r>
        <w:rPr>
          <w:spacing w:val="-2"/>
        </w:rPr>
        <w:t> </w:t>
      </w:r>
      <w:r>
        <w:rPr/>
        <w:t>vagy leírni, de</w:t>
      </w:r>
      <w:r>
        <w:rPr>
          <w:spacing w:val="-2"/>
        </w:rPr>
        <w:t> </w:t>
      </w:r>
      <w:r>
        <w:rPr/>
        <w:t>elérni gyakran</w:t>
      </w:r>
      <w:r>
        <w:rPr>
          <w:spacing w:val="-1"/>
        </w:rPr>
        <w:t> </w:t>
      </w:r>
      <w:r>
        <w:rPr/>
        <w:t>nagyon nehéz. Az emberek ugyanis különböző elvárásokkal, elképzelésekkel, vágyakkal érkeznek a folyamatba, de feltételezéseik, érzelmeik, kultúrájuk és kommunikációs eszközeik alapvetően befolyásolják, hogy mennyit akarnak és mennyit tudnak megosztani. Ahhoz, hogy az értékteremtő folyamat kialakulhasson, el kell juttatni őket arra a pontra, amikor hajlandóak megnyílni, és felfedni érdekeik és korlátaik fontos elemeit.</w:t>
      </w:r>
    </w:p>
    <w:p>
      <w:pPr>
        <w:pStyle w:val="BodyText"/>
        <w:spacing w:line="360" w:lineRule="auto" w:before="203"/>
        <w:ind w:left="116" w:right="215"/>
        <w:jc w:val="both"/>
      </w:pPr>
      <w:r>
        <w:rPr/>
        <w:t>Az első és legfontosabb feltétel, hogy a felek tisztában legyenek azzal, hogy a tárgyalás jobb eredményt hozhat, mint amit tárgyalás nélkül el tudnak érni. Ha ez nem egyértelmű, akkor végig kell gondolni, hogy van-e a tárgyalással elérhető eredménynél jobb megoldás. Ha ugyanis motiváció és meggyőzősé nélkül kezdünk tárgyalni</w:t>
      </w:r>
      <w:r>
        <w:rPr>
          <w:spacing w:val="40"/>
        </w:rPr>
        <w:t> </w:t>
      </w:r>
      <w:r>
        <w:rPr/>
        <w:t>komolytalanná válik a tárgyalás.</w:t>
      </w:r>
      <w:r>
        <w:rPr>
          <w:vertAlign w:val="superscript"/>
        </w:rPr>
        <w:t>14</w:t>
      </w:r>
    </w:p>
    <w:p>
      <w:pPr>
        <w:pStyle w:val="BodyText"/>
        <w:spacing w:line="360" w:lineRule="auto" w:before="199"/>
        <w:ind w:left="116" w:right="212"/>
        <w:jc w:val="both"/>
      </w:pPr>
      <w:r>
        <w:rPr/>
        <w:t>A második feltétel, hogy ne csak a saját, de a többiek preferenciáit és részben mozgatórugóit is megértsük. Ehhez nyílt párbeszédre van szükség. Asszertív emberek általában könnyebben kinyilvánítják elvárásaikat, érdekeiket és akár ezekhez kapcsolódó érzelmeiket is. Másoknak a biztonság és bizalom érzetére van szükségük ahhoz, hogy megnyíljanak, és arról is beszéljenek, hogy mit szeretnének leginkább elérni, és miért választották az adott pozíciót.</w:t>
      </w:r>
    </w:p>
    <w:p>
      <w:pPr>
        <w:pStyle w:val="BodyText"/>
        <w:spacing w:before="201"/>
        <w:ind w:left="116"/>
        <w:jc w:val="both"/>
      </w:pPr>
      <w:r>
        <w:rPr/>
        <w:t>Ha</w:t>
      </w:r>
      <w:r>
        <w:rPr>
          <w:spacing w:val="35"/>
        </w:rPr>
        <w:t> </w:t>
      </w:r>
      <w:r>
        <w:rPr/>
        <w:t>a</w:t>
      </w:r>
      <w:r>
        <w:rPr>
          <w:spacing w:val="38"/>
        </w:rPr>
        <w:t> </w:t>
      </w:r>
      <w:r>
        <w:rPr/>
        <w:t>folyamatban</w:t>
      </w:r>
      <w:r>
        <w:rPr>
          <w:spacing w:val="35"/>
        </w:rPr>
        <w:t> </w:t>
      </w:r>
      <w:r>
        <w:rPr/>
        <w:t>kialakul</w:t>
      </w:r>
      <w:r>
        <w:rPr>
          <w:spacing w:val="35"/>
        </w:rPr>
        <w:t> </w:t>
      </w:r>
      <w:r>
        <w:rPr/>
        <w:t>a</w:t>
      </w:r>
      <w:r>
        <w:rPr>
          <w:spacing w:val="38"/>
        </w:rPr>
        <w:t> </w:t>
      </w:r>
      <w:r>
        <w:rPr/>
        <w:t>felek</w:t>
      </w:r>
      <w:r>
        <w:rPr>
          <w:spacing w:val="41"/>
        </w:rPr>
        <w:t> </w:t>
      </w:r>
      <w:r>
        <w:rPr/>
        <w:t>biztonságérzete,</w:t>
      </w:r>
      <w:r>
        <w:rPr>
          <w:spacing w:val="34"/>
        </w:rPr>
        <w:t> </w:t>
      </w:r>
      <w:r>
        <w:rPr/>
        <w:t>és</w:t>
      </w:r>
      <w:r>
        <w:rPr>
          <w:spacing w:val="40"/>
        </w:rPr>
        <w:t> </w:t>
      </w:r>
      <w:r>
        <w:rPr/>
        <w:t>hajlandóak</w:t>
      </w:r>
      <w:r>
        <w:rPr>
          <w:spacing w:val="36"/>
        </w:rPr>
        <w:t> </w:t>
      </w:r>
      <w:r>
        <w:rPr/>
        <w:t>érdemben</w:t>
      </w:r>
      <w:r>
        <w:rPr>
          <w:spacing w:val="36"/>
        </w:rPr>
        <w:t> </w:t>
      </w:r>
      <w:r>
        <w:rPr/>
        <w:t>tárgyalni,</w:t>
      </w:r>
      <w:r>
        <w:rPr>
          <w:spacing w:val="38"/>
        </w:rPr>
        <w:t> </w:t>
      </w:r>
      <w:r>
        <w:rPr/>
        <w:t>akkor</w:t>
      </w:r>
      <w:r>
        <w:rPr>
          <w:spacing w:val="36"/>
        </w:rPr>
        <w:t> </w:t>
      </w:r>
      <w:r>
        <w:rPr>
          <w:spacing w:val="-5"/>
        </w:rPr>
        <w:t>már</w:t>
      </w:r>
    </w:p>
    <w:p>
      <w:pPr>
        <w:pStyle w:val="BodyText"/>
        <w:spacing w:line="360" w:lineRule="auto" w:before="135"/>
        <w:ind w:left="116" w:right="214"/>
        <w:jc w:val="both"/>
      </w:pPr>
      <w:r>
        <w:rPr/>
        <w:t>„csak” nyitott, aktív figyelemre van szükség, és egy feltáró beszélgetésre (a két módszerről részletesebben kicsit később írok) és arra, hogy mindaddig, amíg ki nem alakul a legjobb megoldás az adott helyzetre, addig ne az elosztáson, hanem a megoldáson gondolkodjanak.</w:t>
      </w:r>
    </w:p>
    <w:p>
      <w:pPr>
        <w:pStyle w:val="BodyText"/>
      </w:pPr>
    </w:p>
    <w:p>
      <w:pPr>
        <w:pStyle w:val="BodyText"/>
        <w:spacing w:before="250"/>
      </w:pPr>
    </w:p>
    <w:p>
      <w:pPr>
        <w:pStyle w:val="Heading2"/>
        <w:numPr>
          <w:ilvl w:val="1"/>
          <w:numId w:val="4"/>
        </w:numPr>
        <w:tabs>
          <w:tab w:pos="599" w:val="left" w:leader="none"/>
        </w:tabs>
        <w:spacing w:line="240" w:lineRule="auto" w:before="0" w:after="0"/>
        <w:ind w:left="599" w:right="0" w:hanging="483"/>
        <w:jc w:val="left"/>
      </w:pPr>
      <w:r>
        <w:rPr>
          <w:color w:val="4F81BC"/>
        </w:rPr>
        <w:t>A</w:t>
      </w:r>
      <w:r>
        <w:rPr>
          <w:color w:val="4F81BC"/>
          <w:spacing w:val="-9"/>
        </w:rPr>
        <w:t> </w:t>
      </w:r>
      <w:r>
        <w:rPr>
          <w:color w:val="4F81BC"/>
        </w:rPr>
        <w:t>Harvard</w:t>
      </w:r>
      <w:r>
        <w:rPr>
          <w:color w:val="4F81BC"/>
          <w:spacing w:val="-7"/>
        </w:rPr>
        <w:t> </w:t>
      </w:r>
      <w:r>
        <w:rPr>
          <w:color w:val="4F81BC"/>
        </w:rPr>
        <w:t>módszer</w:t>
      </w:r>
      <w:r>
        <w:rPr>
          <w:color w:val="4F81BC"/>
          <w:spacing w:val="-8"/>
        </w:rPr>
        <w:t> </w:t>
      </w:r>
      <w:r>
        <w:rPr>
          <w:color w:val="4F81BC"/>
        </w:rPr>
        <w:t>négy</w:t>
      </w:r>
      <w:r>
        <w:rPr>
          <w:color w:val="4F81BC"/>
          <w:spacing w:val="-9"/>
        </w:rPr>
        <w:t> </w:t>
      </w:r>
      <w:r>
        <w:rPr>
          <w:color w:val="4F81BC"/>
          <w:spacing w:val="-2"/>
        </w:rPr>
        <w:t>alapelve</w:t>
      </w:r>
    </w:p>
    <w:p>
      <w:pPr>
        <w:pStyle w:val="BodyText"/>
        <w:spacing w:before="155"/>
        <w:ind w:left="116"/>
        <w:jc w:val="both"/>
      </w:pPr>
      <w:r>
        <w:rPr/>
        <w:t>A</w:t>
      </w:r>
      <w:r>
        <w:rPr>
          <w:spacing w:val="-7"/>
        </w:rPr>
        <w:t> </w:t>
      </w:r>
      <w:r>
        <w:rPr/>
        <w:t>Harvard</w:t>
      </w:r>
      <w:r>
        <w:rPr>
          <w:spacing w:val="-6"/>
        </w:rPr>
        <w:t> </w:t>
      </w:r>
      <w:r>
        <w:rPr/>
        <w:t>módszer</w:t>
      </w:r>
      <w:r>
        <w:rPr>
          <w:spacing w:val="-5"/>
        </w:rPr>
        <w:t> </w:t>
      </w:r>
      <w:r>
        <w:rPr/>
        <w:t>a</w:t>
      </w:r>
      <w:r>
        <w:rPr>
          <w:spacing w:val="-6"/>
        </w:rPr>
        <w:t> </w:t>
      </w:r>
      <w:r>
        <w:rPr/>
        <w:t>következő négy</w:t>
      </w:r>
      <w:r>
        <w:rPr>
          <w:spacing w:val="-4"/>
        </w:rPr>
        <w:t> </w:t>
      </w:r>
      <w:r>
        <w:rPr/>
        <w:t>alapelv</w:t>
      </w:r>
      <w:r>
        <w:rPr>
          <w:spacing w:val="-3"/>
        </w:rPr>
        <w:t> </w:t>
      </w:r>
      <w:r>
        <w:rPr/>
        <w:t>betartását</w:t>
      </w:r>
      <w:r>
        <w:rPr>
          <w:spacing w:val="-4"/>
        </w:rPr>
        <w:t> </w:t>
      </w:r>
      <w:r>
        <w:rPr/>
        <w:t>ajánlja</w:t>
      </w:r>
      <w:r>
        <w:rPr>
          <w:spacing w:val="-4"/>
        </w:rPr>
        <w:t> </w:t>
      </w:r>
      <w:r>
        <w:rPr/>
        <w:t>a</w:t>
      </w:r>
      <w:r>
        <w:rPr>
          <w:spacing w:val="-5"/>
        </w:rPr>
        <w:t> </w:t>
      </w:r>
      <w:r>
        <w:rPr>
          <w:spacing w:val="-2"/>
        </w:rPr>
        <w:t>tárgyalóknak:</w:t>
      </w:r>
    </w:p>
    <w:p>
      <w:pPr>
        <w:pStyle w:val="BodyText"/>
        <w:spacing w:before="63"/>
      </w:pPr>
    </w:p>
    <w:p>
      <w:pPr>
        <w:pStyle w:val="ListParagraph"/>
        <w:numPr>
          <w:ilvl w:val="2"/>
          <w:numId w:val="4"/>
        </w:numPr>
        <w:tabs>
          <w:tab w:pos="1554" w:val="left" w:leader="none"/>
        </w:tabs>
        <w:spacing w:line="240" w:lineRule="auto" w:before="0" w:after="0"/>
        <w:ind w:left="1554" w:right="0" w:hanging="358"/>
        <w:jc w:val="left"/>
        <w:rPr>
          <w:sz w:val="22"/>
        </w:rPr>
      </w:pPr>
      <w:r>
        <w:rPr>
          <w:sz w:val="22"/>
        </w:rPr>
        <w:t>A</w:t>
      </w:r>
      <w:r>
        <w:rPr>
          <w:spacing w:val="-6"/>
          <w:sz w:val="22"/>
        </w:rPr>
        <w:t> </w:t>
      </w:r>
      <w:r>
        <w:rPr>
          <w:sz w:val="22"/>
        </w:rPr>
        <w:t>személyeket</w:t>
      </w:r>
      <w:r>
        <w:rPr>
          <w:spacing w:val="-4"/>
          <w:sz w:val="22"/>
        </w:rPr>
        <w:t> </w:t>
      </w:r>
      <w:r>
        <w:rPr>
          <w:sz w:val="22"/>
        </w:rPr>
        <w:t>és</w:t>
      </w:r>
      <w:r>
        <w:rPr>
          <w:spacing w:val="-5"/>
          <w:sz w:val="22"/>
        </w:rPr>
        <w:t> </w:t>
      </w:r>
      <w:r>
        <w:rPr>
          <w:sz w:val="22"/>
        </w:rPr>
        <w:t>a</w:t>
      </w:r>
      <w:r>
        <w:rPr>
          <w:spacing w:val="-4"/>
          <w:sz w:val="22"/>
        </w:rPr>
        <w:t> </w:t>
      </w:r>
      <w:r>
        <w:rPr>
          <w:sz w:val="22"/>
        </w:rPr>
        <w:t>tárgyalás</w:t>
      </w:r>
      <w:r>
        <w:rPr>
          <w:spacing w:val="-4"/>
          <w:sz w:val="22"/>
        </w:rPr>
        <w:t> </w:t>
      </w:r>
      <w:r>
        <w:rPr>
          <w:sz w:val="22"/>
        </w:rPr>
        <w:t>tárgyához</w:t>
      </w:r>
      <w:r>
        <w:rPr>
          <w:spacing w:val="-4"/>
          <w:sz w:val="22"/>
        </w:rPr>
        <w:t> </w:t>
      </w:r>
      <w:r>
        <w:rPr>
          <w:sz w:val="22"/>
        </w:rPr>
        <w:t>kapcsolódó</w:t>
      </w:r>
      <w:r>
        <w:rPr>
          <w:spacing w:val="-4"/>
          <w:sz w:val="22"/>
        </w:rPr>
        <w:t> </w:t>
      </w:r>
      <w:r>
        <w:rPr>
          <w:sz w:val="22"/>
        </w:rPr>
        <w:t>kérdéseket</w:t>
      </w:r>
      <w:r>
        <w:rPr>
          <w:spacing w:val="-4"/>
          <w:sz w:val="22"/>
        </w:rPr>
        <w:t> </w:t>
      </w:r>
      <w:r>
        <w:rPr>
          <w:sz w:val="22"/>
        </w:rPr>
        <w:t>szét</w:t>
      </w:r>
      <w:r>
        <w:rPr>
          <w:spacing w:val="-4"/>
          <w:sz w:val="22"/>
        </w:rPr>
        <w:t> </w:t>
      </w:r>
      <w:r>
        <w:rPr>
          <w:sz w:val="22"/>
        </w:rPr>
        <w:t>kell</w:t>
      </w:r>
      <w:r>
        <w:rPr>
          <w:spacing w:val="-4"/>
          <w:sz w:val="22"/>
        </w:rPr>
        <w:t> </w:t>
      </w:r>
      <w:r>
        <w:rPr>
          <w:spacing w:val="-2"/>
          <w:sz w:val="22"/>
        </w:rPr>
        <w:t>választani.</w:t>
      </w:r>
    </w:p>
    <w:p>
      <w:pPr>
        <w:pStyle w:val="ListParagraph"/>
        <w:numPr>
          <w:ilvl w:val="2"/>
          <w:numId w:val="4"/>
        </w:numPr>
        <w:tabs>
          <w:tab w:pos="1554" w:val="left" w:leader="none"/>
          <w:tab w:pos="1556" w:val="left" w:leader="none"/>
        </w:tabs>
        <w:spacing w:line="357" w:lineRule="auto" w:before="135" w:after="0"/>
        <w:ind w:left="1556" w:right="213" w:hanging="360"/>
        <w:jc w:val="left"/>
        <w:rPr>
          <w:sz w:val="22"/>
        </w:rPr>
      </w:pPr>
      <w:r>
        <w:rPr>
          <w:sz w:val="22"/>
        </w:rPr>
        <w:t>Nem</w:t>
      </w:r>
      <w:r>
        <w:rPr>
          <w:spacing w:val="80"/>
          <w:w w:val="150"/>
          <w:sz w:val="22"/>
        </w:rPr>
        <w:t> </w:t>
      </w:r>
      <w:r>
        <w:rPr>
          <w:sz w:val="22"/>
        </w:rPr>
        <w:t>a</w:t>
      </w:r>
      <w:r>
        <w:rPr>
          <w:spacing w:val="80"/>
          <w:w w:val="150"/>
          <w:sz w:val="22"/>
        </w:rPr>
        <w:t> </w:t>
      </w:r>
      <w:r>
        <w:rPr>
          <w:sz w:val="22"/>
        </w:rPr>
        <w:t>pozíciókat</w:t>
      </w:r>
      <w:r>
        <w:rPr>
          <w:spacing w:val="80"/>
          <w:w w:val="150"/>
          <w:sz w:val="22"/>
        </w:rPr>
        <w:t> </w:t>
      </w:r>
      <w:r>
        <w:rPr>
          <w:sz w:val="22"/>
        </w:rPr>
        <w:t>kell</w:t>
      </w:r>
      <w:r>
        <w:rPr>
          <w:spacing w:val="80"/>
          <w:w w:val="150"/>
          <w:sz w:val="22"/>
        </w:rPr>
        <w:t> </w:t>
      </w:r>
      <w:r>
        <w:rPr>
          <w:sz w:val="22"/>
        </w:rPr>
        <w:t>védelmezni,</w:t>
      </w:r>
      <w:r>
        <w:rPr>
          <w:spacing w:val="80"/>
          <w:w w:val="150"/>
          <w:sz w:val="22"/>
        </w:rPr>
        <w:t> </w:t>
      </w:r>
      <w:r>
        <w:rPr>
          <w:sz w:val="22"/>
        </w:rPr>
        <w:t>hanem</w:t>
      </w:r>
      <w:r>
        <w:rPr>
          <w:spacing w:val="80"/>
          <w:w w:val="150"/>
          <w:sz w:val="22"/>
        </w:rPr>
        <w:t> </w:t>
      </w:r>
      <w:r>
        <w:rPr>
          <w:sz w:val="22"/>
        </w:rPr>
        <w:t>az</w:t>
      </w:r>
      <w:r>
        <w:rPr>
          <w:spacing w:val="80"/>
          <w:w w:val="150"/>
          <w:sz w:val="22"/>
        </w:rPr>
        <w:t> </w:t>
      </w:r>
      <w:r>
        <w:rPr>
          <w:sz w:val="22"/>
        </w:rPr>
        <w:t>érdekek</w:t>
      </w:r>
      <w:r>
        <w:rPr>
          <w:spacing w:val="80"/>
          <w:w w:val="150"/>
          <w:sz w:val="22"/>
        </w:rPr>
        <w:t> </w:t>
      </w:r>
      <w:r>
        <w:rPr>
          <w:sz w:val="22"/>
        </w:rPr>
        <w:t>érvényesítésére</w:t>
      </w:r>
      <w:r>
        <w:rPr>
          <w:spacing w:val="80"/>
          <w:w w:val="150"/>
          <w:sz w:val="22"/>
        </w:rPr>
        <w:t> </w:t>
      </w:r>
      <w:r>
        <w:rPr>
          <w:sz w:val="22"/>
        </w:rPr>
        <w:t>kell </w:t>
      </w:r>
      <w:r>
        <w:rPr>
          <w:spacing w:val="-2"/>
          <w:sz w:val="22"/>
        </w:rPr>
        <w:t>koncentrálni.</w:t>
      </w:r>
    </w:p>
    <w:p>
      <w:pPr>
        <w:pStyle w:val="ListParagraph"/>
        <w:numPr>
          <w:ilvl w:val="2"/>
          <w:numId w:val="4"/>
        </w:numPr>
        <w:tabs>
          <w:tab w:pos="1554" w:val="left" w:leader="none"/>
        </w:tabs>
        <w:spacing w:line="240" w:lineRule="auto" w:before="3" w:after="0"/>
        <w:ind w:left="1554" w:right="0" w:hanging="358"/>
        <w:jc w:val="left"/>
        <w:rPr>
          <w:sz w:val="22"/>
        </w:rPr>
      </w:pPr>
      <w:r>
        <w:rPr>
          <w:sz w:val="22"/>
        </w:rPr>
        <w:t>Döntés</w:t>
      </w:r>
      <w:r>
        <w:rPr>
          <w:spacing w:val="-5"/>
          <w:sz w:val="22"/>
        </w:rPr>
        <w:t> </w:t>
      </w:r>
      <w:r>
        <w:rPr>
          <w:sz w:val="22"/>
        </w:rPr>
        <w:t>előtt</w:t>
      </w:r>
      <w:r>
        <w:rPr>
          <w:spacing w:val="-3"/>
          <w:sz w:val="22"/>
        </w:rPr>
        <w:t> </w:t>
      </w:r>
      <w:r>
        <w:rPr>
          <w:sz w:val="22"/>
        </w:rPr>
        <w:t>többféle</w:t>
      </w:r>
      <w:r>
        <w:rPr>
          <w:spacing w:val="-4"/>
          <w:sz w:val="22"/>
        </w:rPr>
        <w:t> </w:t>
      </w:r>
      <w:r>
        <w:rPr>
          <w:sz w:val="22"/>
        </w:rPr>
        <w:t>alternatívát</w:t>
      </w:r>
      <w:r>
        <w:rPr>
          <w:spacing w:val="-4"/>
          <w:sz w:val="22"/>
        </w:rPr>
        <w:t> </w:t>
      </w:r>
      <w:r>
        <w:rPr>
          <w:sz w:val="22"/>
        </w:rPr>
        <w:t>meg</w:t>
      </w:r>
      <w:r>
        <w:rPr>
          <w:spacing w:val="-1"/>
          <w:sz w:val="22"/>
        </w:rPr>
        <w:t> </w:t>
      </w:r>
      <w:r>
        <w:rPr>
          <w:sz w:val="22"/>
        </w:rPr>
        <w:t>kell</w:t>
      </w:r>
      <w:r>
        <w:rPr>
          <w:spacing w:val="-5"/>
          <w:sz w:val="22"/>
        </w:rPr>
        <w:t> </w:t>
      </w:r>
      <w:r>
        <w:rPr>
          <w:spacing w:val="-2"/>
          <w:sz w:val="22"/>
        </w:rPr>
        <w:t>vizsgálni.</w:t>
      </w:r>
    </w:p>
    <w:p>
      <w:pPr>
        <w:pStyle w:val="ListParagraph"/>
        <w:numPr>
          <w:ilvl w:val="2"/>
          <w:numId w:val="4"/>
        </w:numPr>
        <w:tabs>
          <w:tab w:pos="1554" w:val="left" w:leader="none"/>
        </w:tabs>
        <w:spacing w:line="240" w:lineRule="auto" w:before="137" w:after="0"/>
        <w:ind w:left="1554" w:right="0" w:hanging="358"/>
        <w:jc w:val="left"/>
        <w:rPr>
          <w:sz w:val="22"/>
        </w:rPr>
      </w:pPr>
      <w:r>
        <w:rPr>
          <w:sz w:val="22"/>
        </w:rPr>
        <w:t>Objektív</w:t>
      </w:r>
      <w:r>
        <w:rPr>
          <w:spacing w:val="-6"/>
          <w:sz w:val="22"/>
        </w:rPr>
        <w:t> </w:t>
      </w:r>
      <w:r>
        <w:rPr>
          <w:sz w:val="22"/>
        </w:rPr>
        <w:t>döntési</w:t>
      </w:r>
      <w:r>
        <w:rPr>
          <w:spacing w:val="-8"/>
          <w:sz w:val="22"/>
        </w:rPr>
        <w:t> </w:t>
      </w:r>
      <w:r>
        <w:rPr>
          <w:sz w:val="22"/>
        </w:rPr>
        <w:t>kritériumokban</w:t>
      </w:r>
      <w:r>
        <w:rPr>
          <w:spacing w:val="-8"/>
          <w:sz w:val="22"/>
        </w:rPr>
        <w:t> </w:t>
      </w:r>
      <w:r>
        <w:rPr>
          <w:sz w:val="22"/>
        </w:rPr>
        <w:t>kell</w:t>
      </w:r>
      <w:r>
        <w:rPr>
          <w:spacing w:val="-7"/>
          <w:sz w:val="22"/>
        </w:rPr>
        <w:t> </w:t>
      </w:r>
      <w:r>
        <w:rPr>
          <w:spacing w:val="-2"/>
          <w:sz w:val="22"/>
        </w:rPr>
        <w:t>megegyezni.</w:t>
      </w:r>
    </w:p>
    <w:p>
      <w:pPr>
        <w:pStyle w:val="BodyText"/>
        <w:spacing w:before="100"/>
        <w:rPr>
          <w:sz w:val="20"/>
        </w:rPr>
      </w:pPr>
      <w:r>
        <w:rPr/>
        <mc:AlternateContent>
          <mc:Choice Requires="wps">
            <w:drawing>
              <wp:anchor distT="0" distB="0" distL="0" distR="0" allowOverlap="1" layoutInCell="1" locked="0" behindDoc="1" simplePos="0" relativeHeight="487595008">
                <wp:simplePos x="0" y="0"/>
                <wp:positionH relativeFrom="page">
                  <wp:posOffset>899464</wp:posOffset>
                </wp:positionH>
                <wp:positionV relativeFrom="paragraph">
                  <wp:posOffset>234197</wp:posOffset>
                </wp:positionV>
                <wp:extent cx="1829435" cy="9525"/>
                <wp:effectExtent l="0" t="0" r="0" b="0"/>
                <wp:wrapTopAndBottom/>
                <wp:docPr id="23" name="Graphic 23"/>
                <wp:cNvGraphicFramePr>
                  <a:graphicFrameLocks/>
                </wp:cNvGraphicFramePr>
                <a:graphic>
                  <a:graphicData uri="http://schemas.microsoft.com/office/word/2010/wordprocessingShape">
                    <wps:wsp>
                      <wps:cNvPr id="23" name="Graphic 23"/>
                      <wps:cNvSpPr/>
                      <wps:spPr>
                        <a:xfrm>
                          <a:off x="0" y="0"/>
                          <a:ext cx="1829435" cy="9525"/>
                        </a:xfrm>
                        <a:custGeom>
                          <a:avLst/>
                          <a:gdLst/>
                          <a:ahLst/>
                          <a:cxnLst/>
                          <a:rect l="l" t="t" r="r" b="b"/>
                          <a:pathLst>
                            <a:path w="1829435" h="9525">
                              <a:moveTo>
                                <a:pt x="1829053" y="0"/>
                              </a:moveTo>
                              <a:lnTo>
                                <a:pt x="0" y="0"/>
                              </a:lnTo>
                              <a:lnTo>
                                <a:pt x="0" y="9143"/>
                              </a:lnTo>
                              <a:lnTo>
                                <a:pt x="1829053" y="9143"/>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823997pt;margin-top:18.440752pt;width:144.020pt;height:.71997pt;mso-position-horizontal-relative:page;mso-position-vertical-relative:paragraph;z-index:-15721472;mso-wrap-distance-left:0;mso-wrap-distance-right:0" id="docshape22" filled="true" fillcolor="#000000" stroked="false">
                <v:fill type="solid"/>
                <w10:wrap type="topAndBottom"/>
              </v:rect>
            </w:pict>
          </mc:Fallback>
        </mc:AlternateContent>
      </w:r>
    </w:p>
    <w:p>
      <w:pPr>
        <w:spacing w:before="102"/>
        <w:ind w:left="116" w:right="561" w:firstLine="0"/>
        <w:jc w:val="left"/>
        <w:rPr>
          <w:sz w:val="20"/>
        </w:rPr>
      </w:pPr>
      <w:r>
        <w:rPr>
          <w:sz w:val="20"/>
          <w:vertAlign w:val="superscript"/>
        </w:rPr>
        <w:t>14</w:t>
      </w:r>
      <w:r>
        <w:rPr>
          <w:sz w:val="20"/>
          <w:vertAlign w:val="baseline"/>
        </w:rPr>
        <w:t> Később részletesebben tárgyalom, most itt csak annyit, hogy a magyar szaknyelv az erre szolgáló eszközt TELA-nak</w:t>
      </w:r>
      <w:r>
        <w:rPr>
          <w:spacing w:val="-3"/>
          <w:sz w:val="20"/>
          <w:vertAlign w:val="baseline"/>
        </w:rPr>
        <w:t> </w:t>
      </w:r>
      <w:r>
        <w:rPr>
          <w:sz w:val="20"/>
          <w:vertAlign w:val="baseline"/>
        </w:rPr>
        <w:t>hívja.</w:t>
      </w:r>
      <w:r>
        <w:rPr>
          <w:spacing w:val="-3"/>
          <w:sz w:val="20"/>
          <w:vertAlign w:val="baseline"/>
        </w:rPr>
        <w:t> </w:t>
      </w:r>
      <w:r>
        <w:rPr>
          <w:sz w:val="20"/>
          <w:vertAlign w:val="baseline"/>
        </w:rPr>
        <w:t>A</w:t>
      </w:r>
      <w:r>
        <w:rPr>
          <w:spacing w:val="-4"/>
          <w:sz w:val="20"/>
          <w:vertAlign w:val="baseline"/>
        </w:rPr>
        <w:t> </w:t>
      </w:r>
      <w:r>
        <w:rPr>
          <w:sz w:val="20"/>
          <w:vertAlign w:val="baseline"/>
        </w:rPr>
        <w:t>TELA</w:t>
      </w:r>
      <w:r>
        <w:rPr>
          <w:spacing w:val="-3"/>
          <w:sz w:val="20"/>
          <w:vertAlign w:val="baseline"/>
        </w:rPr>
        <w:t> </w:t>
      </w:r>
      <w:r>
        <w:rPr>
          <w:sz w:val="20"/>
          <w:vertAlign w:val="baseline"/>
        </w:rPr>
        <w:t>betűszó:</w:t>
      </w:r>
      <w:r>
        <w:rPr>
          <w:spacing w:val="-4"/>
          <w:sz w:val="20"/>
          <w:vertAlign w:val="baseline"/>
        </w:rPr>
        <w:t> </w:t>
      </w:r>
      <w:r>
        <w:rPr>
          <w:sz w:val="20"/>
          <w:vertAlign w:val="baseline"/>
        </w:rPr>
        <w:t>a</w:t>
      </w:r>
      <w:r>
        <w:rPr>
          <w:spacing w:val="-3"/>
          <w:sz w:val="20"/>
          <w:vertAlign w:val="baseline"/>
        </w:rPr>
        <w:t> </w:t>
      </w:r>
      <w:r>
        <w:rPr>
          <w:sz w:val="20"/>
          <w:vertAlign w:val="baseline"/>
        </w:rPr>
        <w:t>Tárgyalásos</w:t>
      </w:r>
      <w:r>
        <w:rPr>
          <w:spacing w:val="-5"/>
          <w:sz w:val="20"/>
          <w:vertAlign w:val="baseline"/>
        </w:rPr>
        <w:t> </w:t>
      </w:r>
      <w:r>
        <w:rPr>
          <w:sz w:val="20"/>
          <w:vertAlign w:val="baseline"/>
        </w:rPr>
        <w:t>Egyezség</w:t>
      </w:r>
      <w:r>
        <w:rPr>
          <w:spacing w:val="-4"/>
          <w:sz w:val="20"/>
          <w:vertAlign w:val="baseline"/>
        </w:rPr>
        <w:t> </w:t>
      </w:r>
      <w:r>
        <w:rPr>
          <w:sz w:val="20"/>
          <w:vertAlign w:val="baseline"/>
        </w:rPr>
        <w:t>Legjobb</w:t>
      </w:r>
      <w:r>
        <w:rPr>
          <w:spacing w:val="-3"/>
          <w:sz w:val="20"/>
          <w:vertAlign w:val="baseline"/>
        </w:rPr>
        <w:t> </w:t>
      </w:r>
      <w:r>
        <w:rPr>
          <w:sz w:val="20"/>
          <w:vertAlign w:val="baseline"/>
        </w:rPr>
        <w:t>Alternatívája. Angolul</w:t>
      </w:r>
      <w:r>
        <w:rPr>
          <w:spacing w:val="-4"/>
          <w:sz w:val="20"/>
          <w:vertAlign w:val="baseline"/>
        </w:rPr>
        <w:t> </w:t>
      </w:r>
      <w:r>
        <w:rPr>
          <w:sz w:val="20"/>
          <w:vertAlign w:val="baseline"/>
        </w:rPr>
        <w:t>BATNA-nak</w:t>
      </w:r>
      <w:r>
        <w:rPr>
          <w:spacing w:val="-3"/>
          <w:sz w:val="20"/>
          <w:vertAlign w:val="baseline"/>
        </w:rPr>
        <w:t> </w:t>
      </w:r>
      <w:r>
        <w:rPr>
          <w:sz w:val="20"/>
          <w:vertAlign w:val="baseline"/>
        </w:rPr>
        <w:t>hívják,</w:t>
      </w:r>
      <w:r>
        <w:rPr>
          <w:spacing w:val="-3"/>
          <w:sz w:val="20"/>
          <w:vertAlign w:val="baseline"/>
        </w:rPr>
        <w:t> </w:t>
      </w:r>
      <w:r>
        <w:rPr>
          <w:sz w:val="20"/>
          <w:vertAlign w:val="baseline"/>
        </w:rPr>
        <w:t>és magyarul is gyakran ezt használják a szakemberek. BATNA: Best Alternativ to a Negotiated Agreement.</w:t>
      </w:r>
    </w:p>
    <w:p>
      <w:pPr>
        <w:spacing w:after="0"/>
        <w:jc w:val="left"/>
        <w:rPr>
          <w:sz w:val="20"/>
        </w:rPr>
        <w:sectPr>
          <w:pgSz w:w="11910" w:h="16840"/>
          <w:pgMar w:header="0" w:footer="1002" w:top="1360" w:bottom="1200" w:left="1300" w:right="1200"/>
        </w:sectPr>
      </w:pPr>
    </w:p>
    <w:p>
      <w:pPr>
        <w:pStyle w:val="BodyText"/>
        <w:spacing w:line="360" w:lineRule="auto" w:before="34"/>
        <w:ind w:left="116" w:right="211"/>
        <w:jc w:val="both"/>
      </w:pPr>
      <w:r>
        <w:rPr/>
        <w:t>Érdemes ezt a négy alapelvet kicsit pontosabban is kifejteni. Az első pont arra hívja fel a figyelmet, hogy mindaddig, amíg személyes viszonyulásunk, a másik féllel szemben érzett jó vagy rossz</w:t>
      </w:r>
      <w:r>
        <w:rPr>
          <w:spacing w:val="40"/>
        </w:rPr>
        <w:t> </w:t>
      </w:r>
      <w:r>
        <w:rPr/>
        <w:t>érzéseink töltik ki gondolatainkat, nem tudunk az ügyről higgadtan gondolkozni. Pedig a jó megoldás megtalálásához</w:t>
      </w:r>
      <w:r>
        <w:rPr>
          <w:spacing w:val="-1"/>
        </w:rPr>
        <w:t> </w:t>
      </w:r>
      <w:r>
        <w:rPr/>
        <w:t>látnunk</w:t>
      </w:r>
      <w:r>
        <w:rPr>
          <w:spacing w:val="-2"/>
        </w:rPr>
        <w:t> </w:t>
      </w:r>
      <w:r>
        <w:rPr/>
        <w:t>kell az</w:t>
      </w:r>
      <w:r>
        <w:rPr>
          <w:spacing w:val="-1"/>
        </w:rPr>
        <w:t> </w:t>
      </w:r>
      <w:r>
        <w:rPr/>
        <w:t>érdekek és szükségletek teljes térképét. Ehhez pedig</w:t>
      </w:r>
      <w:r>
        <w:rPr>
          <w:spacing w:val="-1"/>
        </w:rPr>
        <w:t> </w:t>
      </w:r>
      <w:r>
        <w:rPr/>
        <w:t>a feltáró fázisban legalább annyira fontos elemekként kell kezelni más felek elvárásait és meglátásait, mint a </w:t>
      </w:r>
      <w:r>
        <w:rPr>
          <w:spacing w:val="-2"/>
        </w:rPr>
        <w:t>sajátjainkat.</w:t>
      </w:r>
    </w:p>
    <w:p>
      <w:pPr>
        <w:pStyle w:val="BodyText"/>
        <w:spacing w:line="360" w:lineRule="auto" w:before="202"/>
        <w:ind w:left="116" w:right="211"/>
        <w:jc w:val="both"/>
      </w:pPr>
      <w:r>
        <w:rPr/>
        <w:t>A második alapelvről már korábban részletesen írtam, amikor a pozíció, érdek és szükséglet definiálása történt és az együttműködő folyamat lényegének a kifejtése. Ott arról volt szó, hogy fel kell tárni az érdekeket és szükségleteket is. A feltáráshoz szükséges feltétel az aktív figyelem. Fontos azonban látni, hogy itt arról van szó, hogy érteni kell a másik álláspontját. Ez nem jelent okvetlenül egyetértést, csak</w:t>
      </w:r>
      <w:r>
        <w:rPr>
          <w:spacing w:val="-2"/>
        </w:rPr>
        <w:t> </w:t>
      </w:r>
      <w:r>
        <w:rPr/>
        <w:t>megértést. Egyáltalán</w:t>
      </w:r>
      <w:r>
        <w:rPr>
          <w:spacing w:val="-1"/>
        </w:rPr>
        <w:t> </w:t>
      </w:r>
      <w:r>
        <w:rPr/>
        <w:t>nem szükséges egyet is érteni a preferenciákban. Hiszen pont az előbb volt szó arról, hogy az értékteremtés preferenciák eltérése mentén történik. Ezeket a preferenciákat kell feltárni az értékteremtéshez és ahhoz, hogy mindenki számára elfogadható megoldás születhessen.</w:t>
      </w:r>
    </w:p>
    <w:p>
      <w:pPr>
        <w:pStyle w:val="BodyText"/>
        <w:spacing w:line="360" w:lineRule="auto" w:before="200"/>
        <w:ind w:left="116" w:right="213"/>
        <w:jc w:val="both"/>
      </w:pPr>
      <w:r>
        <w:rPr/>
        <w:t>A harmadik és negyedik alapelv különösen komplex tárgyalási helyzetekben fontos. Amikor ugyanis egysíkú tárgyalásról van szó, mint például egy kosár narancs elosztása, gyakorlatilag az igazságos elosztás feltételeiről szól a tárgyalás. Komplex tárgyalási, vagy probléma megoldási folyamatokban azonban többféle elemről egyszerre egyeztetünk, és általában nem lehet minden elemben értéket teremteni.</w:t>
      </w:r>
      <w:r>
        <w:rPr>
          <w:spacing w:val="40"/>
        </w:rPr>
        <w:t> </w:t>
      </w:r>
      <w:r>
        <w:rPr/>
        <w:t>Egy</w:t>
      </w:r>
      <w:r>
        <w:rPr>
          <w:spacing w:val="-2"/>
        </w:rPr>
        <w:t> </w:t>
      </w:r>
      <w:r>
        <w:rPr/>
        <w:t>komplex</w:t>
      </w:r>
      <w:r>
        <w:rPr>
          <w:spacing w:val="-2"/>
        </w:rPr>
        <w:t> </w:t>
      </w:r>
      <w:r>
        <w:rPr/>
        <w:t>helyzetben</w:t>
      </w:r>
      <w:r>
        <w:rPr>
          <w:spacing w:val="-2"/>
        </w:rPr>
        <w:t> </w:t>
      </w:r>
      <w:r>
        <w:rPr/>
        <w:t>ugyanis</w:t>
      </w:r>
      <w:r>
        <w:rPr>
          <w:spacing w:val="-5"/>
        </w:rPr>
        <w:t> </w:t>
      </w:r>
      <w:r>
        <w:rPr/>
        <w:t>vannak</w:t>
      </w:r>
      <w:r>
        <w:rPr>
          <w:spacing w:val="-2"/>
        </w:rPr>
        <w:t> </w:t>
      </w:r>
      <w:r>
        <w:rPr/>
        <w:t>összeegyeztethető</w:t>
      </w:r>
      <w:r>
        <w:rPr>
          <w:spacing w:val="-3"/>
        </w:rPr>
        <w:t> </w:t>
      </w:r>
      <w:r>
        <w:rPr/>
        <w:t>(ún.</w:t>
      </w:r>
      <w:r>
        <w:rPr>
          <w:spacing w:val="-2"/>
        </w:rPr>
        <w:t> </w:t>
      </w:r>
      <w:r>
        <w:rPr/>
        <w:t>kompatibilis),</w:t>
      </w:r>
      <w:r>
        <w:rPr>
          <w:spacing w:val="-2"/>
        </w:rPr>
        <w:t> </w:t>
      </w:r>
      <w:r>
        <w:rPr/>
        <w:t>elosztási</w:t>
      </w:r>
      <w:r>
        <w:rPr>
          <w:spacing w:val="-2"/>
        </w:rPr>
        <w:t> </w:t>
      </w:r>
      <w:r>
        <w:rPr/>
        <w:t>és integratív elemek:</w:t>
      </w:r>
    </w:p>
    <w:p>
      <w:pPr>
        <w:pStyle w:val="ListParagraph"/>
        <w:numPr>
          <w:ilvl w:val="0"/>
          <w:numId w:val="5"/>
        </w:numPr>
        <w:tabs>
          <w:tab w:pos="886" w:val="left" w:leader="none"/>
        </w:tabs>
        <w:spacing w:line="357" w:lineRule="auto" w:before="200" w:after="0"/>
        <w:ind w:left="886" w:right="217" w:hanging="360"/>
        <w:jc w:val="both"/>
        <w:rPr>
          <w:sz w:val="22"/>
        </w:rPr>
      </w:pPr>
      <w:r>
        <w:rPr>
          <w:sz w:val="22"/>
        </w:rPr>
        <w:t>Összeegyeztethetőnek azokat az elemeket nevezzük, amelyekben a felek álláspontja alapvetően nem ütközik, így lehetőség van kölcsönösen elfogadható megoldás kialakítására.</w:t>
      </w:r>
    </w:p>
    <w:p>
      <w:pPr>
        <w:pStyle w:val="ListParagraph"/>
        <w:numPr>
          <w:ilvl w:val="0"/>
          <w:numId w:val="5"/>
        </w:numPr>
        <w:tabs>
          <w:tab w:pos="886" w:val="left" w:leader="none"/>
        </w:tabs>
        <w:spacing w:line="357" w:lineRule="auto" w:before="205" w:after="0"/>
        <w:ind w:left="886" w:right="216" w:hanging="360"/>
        <w:jc w:val="both"/>
        <w:rPr>
          <w:sz w:val="22"/>
        </w:rPr>
      </w:pPr>
      <w:r>
        <w:rPr>
          <w:sz w:val="22"/>
        </w:rPr>
        <w:t>Elosztási elemeknek azokat az elemeket nevezzük, amelyekben szemben állnak az érdekek. Ezek a ténylegesen zéró összegű helyzetek: amit az egyik nyer, azt a másik elveszti.</w:t>
      </w:r>
    </w:p>
    <w:p>
      <w:pPr>
        <w:pStyle w:val="ListParagraph"/>
        <w:numPr>
          <w:ilvl w:val="0"/>
          <w:numId w:val="5"/>
        </w:numPr>
        <w:tabs>
          <w:tab w:pos="886" w:val="left" w:leader="none"/>
        </w:tabs>
        <w:spacing w:line="360" w:lineRule="auto" w:before="206" w:after="0"/>
        <w:ind w:left="886" w:right="213" w:hanging="360"/>
        <w:jc w:val="both"/>
        <w:rPr>
          <w:sz w:val="22"/>
        </w:rPr>
      </w:pPr>
      <w:r>
        <w:rPr>
          <w:sz w:val="22"/>
        </w:rPr>
        <w:t>Az integratív elemek azok, ahol értéket lehet teremteni azzal, hogy az elemhez fűződő preferenciákat feltárják a felek és a preferenciák intenzitása alapján döntenek arról, hogy miben ki enged.</w:t>
      </w:r>
    </w:p>
    <w:p>
      <w:pPr>
        <w:pStyle w:val="BodyText"/>
        <w:spacing w:line="360" w:lineRule="auto" w:before="200"/>
        <w:ind w:left="116" w:right="216"/>
        <w:jc w:val="both"/>
      </w:pPr>
      <w:r>
        <w:rPr/>
        <w:t>Jól látható, hogy a háromféle elem közül az értékteremtés gyakorlatilag csak az integratív elemekben történhet, így a feltárás célja ilyenkor az, hogy szét tudják választani a tárgyalók a háromféle elemet. Így tudják a felek a kompatibilis elemekben a jó megoldást azonosítani, az integratív elemekben az értékteremtés lehetőségét kihasználni, és végül az elosztási elemeket úgy illeszteni a</w:t>
      </w:r>
      <w:r>
        <w:rPr>
          <w:spacing w:val="40"/>
        </w:rPr>
        <w:t> </w:t>
      </w:r>
      <w:r>
        <w:rPr/>
        <w:t>megegyezésben,</w:t>
      </w:r>
      <w:r>
        <w:rPr>
          <w:spacing w:val="80"/>
          <w:w w:val="150"/>
        </w:rPr>
        <w:t> </w:t>
      </w:r>
      <w:r>
        <w:rPr/>
        <w:t>hogy</w:t>
      </w:r>
      <w:r>
        <w:rPr>
          <w:spacing w:val="80"/>
          <w:w w:val="150"/>
        </w:rPr>
        <w:t> </w:t>
      </w:r>
      <w:r>
        <w:rPr/>
        <w:t>összességében</w:t>
      </w:r>
      <w:r>
        <w:rPr>
          <w:spacing w:val="80"/>
          <w:w w:val="150"/>
        </w:rPr>
        <w:t> </w:t>
      </w:r>
      <w:r>
        <w:rPr/>
        <w:t>igazságos</w:t>
      </w:r>
      <w:r>
        <w:rPr>
          <w:spacing w:val="80"/>
          <w:w w:val="150"/>
        </w:rPr>
        <w:t> </w:t>
      </w:r>
      <w:r>
        <w:rPr/>
        <w:t>és</w:t>
      </w:r>
      <w:r>
        <w:rPr>
          <w:spacing w:val="80"/>
          <w:w w:val="150"/>
        </w:rPr>
        <w:t> </w:t>
      </w:r>
      <w:r>
        <w:rPr/>
        <w:t>elfogadható</w:t>
      </w:r>
      <w:r>
        <w:rPr>
          <w:spacing w:val="80"/>
          <w:w w:val="150"/>
        </w:rPr>
        <w:t> </w:t>
      </w:r>
      <w:r>
        <w:rPr/>
        <w:t>megegyezési</w:t>
      </w:r>
      <w:r>
        <w:rPr>
          <w:spacing w:val="80"/>
          <w:w w:val="150"/>
        </w:rPr>
        <w:t> </w:t>
      </w:r>
      <w:r>
        <w:rPr/>
        <w:t>„csomagokat”</w:t>
      </w:r>
    </w:p>
    <w:p>
      <w:pPr>
        <w:spacing w:after="0" w:line="360" w:lineRule="auto"/>
        <w:jc w:val="both"/>
        <w:sectPr>
          <w:pgSz w:w="11910" w:h="16840"/>
          <w:pgMar w:header="0" w:footer="1002" w:top="1360" w:bottom="1200" w:left="1300" w:right="1200"/>
        </w:sectPr>
      </w:pPr>
    </w:p>
    <w:p>
      <w:pPr>
        <w:pStyle w:val="BodyText"/>
        <w:spacing w:line="360" w:lineRule="auto" w:before="34"/>
        <w:ind w:left="116" w:right="212"/>
        <w:jc w:val="both"/>
      </w:pPr>
      <w:r>
        <w:rPr/>
        <w:t>alkossanak. Ezeket e lehetséges „megoldási csomagokat” nevezzük alternatíváknak. Azért érdemes több alternatívát megvizsgálni, mert ezeket a „megegyezési csomagokat„ látva általában biztosan tudnak dönteni a felek.. Ha eltérőek a választások, a csomagok eltéréséből látható, hogy min</w:t>
      </w:r>
      <w:r>
        <w:rPr>
          <w:spacing w:val="40"/>
        </w:rPr>
        <w:t> </w:t>
      </w:r>
      <w:r>
        <w:rPr/>
        <w:t>érdemes még illeszteni.</w:t>
      </w:r>
    </w:p>
    <w:p>
      <w:pPr>
        <w:pStyle w:val="BodyText"/>
        <w:spacing w:line="360" w:lineRule="auto" w:before="201"/>
        <w:ind w:left="116" w:right="214"/>
        <w:jc w:val="both"/>
      </w:pPr>
      <w:r>
        <w:rPr/>
        <w:t>A negyedik, utolsó alapelv az, hogy objektív döntési kritériumokban kell megállapodni,</w:t>
      </w:r>
      <w:r>
        <w:rPr>
          <w:spacing w:val="80"/>
        </w:rPr>
        <w:t> </w:t>
      </w:r>
      <w:r>
        <w:rPr/>
        <w:t>természetesen nem a tárgyalás végén, hanem még az elején, de legkésőbb a feltáró szakaszban. Az objektív döntési kritérium azért fontos, mert semleges területen segít megértetni és elfogadtatni a másik érdekeit és szükségleteit. Amennyiben sikerül a megoldással szemben támasztott</w:t>
      </w:r>
      <w:r>
        <w:rPr>
          <w:spacing w:val="40"/>
        </w:rPr>
        <w:t> </w:t>
      </w:r>
      <w:r>
        <w:rPr/>
        <w:t>kritériumokat általános, vagy a felek által elfogadott értékekhez, alapelvekhez, jogokhoz, vagy szabályokhoz kötni, kialakul egy közös nézőpont, és jó esély van arra, hogy tárgyszerűbb és strukturáltabb irányt vesz a megbeszélés. Ezzel nagyon sok időt és energiát lehet megtakarítani, és a nemkívánatos feszültségekből adódó kockázatokat is csökkenti.</w:t>
      </w:r>
    </w:p>
    <w:p>
      <w:pPr>
        <w:pStyle w:val="BodyText"/>
      </w:pPr>
    </w:p>
    <w:p>
      <w:pPr>
        <w:pStyle w:val="BodyText"/>
      </w:pPr>
    </w:p>
    <w:p>
      <w:pPr>
        <w:pStyle w:val="BodyText"/>
      </w:pPr>
    </w:p>
    <w:p>
      <w:pPr>
        <w:pStyle w:val="BodyText"/>
        <w:spacing w:before="187"/>
      </w:pPr>
    </w:p>
    <w:p>
      <w:pPr>
        <w:pStyle w:val="BodyText"/>
        <w:spacing w:line="360" w:lineRule="auto"/>
        <w:ind w:left="116" w:right="211"/>
        <w:jc w:val="both"/>
      </w:pPr>
      <w:r>
        <w:rPr/>
        <w:t>Mielőtt</w:t>
      </w:r>
      <w:r>
        <w:rPr>
          <w:spacing w:val="-3"/>
        </w:rPr>
        <w:t> </w:t>
      </w:r>
      <w:r>
        <w:rPr/>
        <w:t>tovább</w:t>
      </w:r>
      <w:r>
        <w:rPr>
          <w:spacing w:val="-2"/>
        </w:rPr>
        <w:t> </w:t>
      </w:r>
      <w:r>
        <w:rPr/>
        <w:t>lépünk,</w:t>
      </w:r>
      <w:r>
        <w:rPr>
          <w:spacing w:val="-3"/>
        </w:rPr>
        <w:t> </w:t>
      </w:r>
      <w:r>
        <w:rPr/>
        <w:t>még</w:t>
      </w:r>
      <w:r>
        <w:rPr>
          <w:spacing w:val="-2"/>
        </w:rPr>
        <w:t> </w:t>
      </w:r>
      <w:r>
        <w:rPr/>
        <w:t>egy</w:t>
      </w:r>
      <w:r>
        <w:rPr>
          <w:spacing w:val="-1"/>
        </w:rPr>
        <w:t> </w:t>
      </w:r>
      <w:r>
        <w:rPr/>
        <w:t>nagyon</w:t>
      </w:r>
      <w:r>
        <w:rPr>
          <w:spacing w:val="-2"/>
        </w:rPr>
        <w:t> </w:t>
      </w:r>
      <w:r>
        <w:rPr/>
        <w:t>fontos</w:t>
      </w:r>
      <w:r>
        <w:rPr>
          <w:spacing w:val="-4"/>
        </w:rPr>
        <w:t> </w:t>
      </w:r>
      <w:r>
        <w:rPr/>
        <w:t>dolgot</w:t>
      </w:r>
      <w:r>
        <w:rPr>
          <w:spacing w:val="-3"/>
        </w:rPr>
        <w:t> </w:t>
      </w:r>
      <w:r>
        <w:rPr/>
        <w:t>tisztázni</w:t>
      </w:r>
      <w:r>
        <w:rPr>
          <w:spacing w:val="-1"/>
        </w:rPr>
        <w:t> </w:t>
      </w:r>
      <w:r>
        <w:rPr/>
        <w:t>kell.</w:t>
      </w:r>
      <w:r>
        <w:rPr>
          <w:spacing w:val="-1"/>
        </w:rPr>
        <w:t> </w:t>
      </w:r>
      <w:r>
        <w:rPr/>
        <w:t>Bár</w:t>
      </w:r>
      <w:r>
        <w:rPr>
          <w:spacing w:val="-4"/>
        </w:rPr>
        <w:t> </w:t>
      </w:r>
      <w:r>
        <w:rPr/>
        <w:t>ebben</w:t>
      </w:r>
      <w:r>
        <w:rPr>
          <w:spacing w:val="-1"/>
        </w:rPr>
        <w:t> </w:t>
      </w:r>
      <w:r>
        <w:rPr/>
        <w:t>a</w:t>
      </w:r>
      <w:r>
        <w:rPr>
          <w:spacing w:val="-1"/>
        </w:rPr>
        <w:t> </w:t>
      </w:r>
      <w:r>
        <w:rPr/>
        <w:t>jegyzetben</w:t>
      </w:r>
      <w:r>
        <w:rPr>
          <w:spacing w:val="-4"/>
        </w:rPr>
        <w:t> </w:t>
      </w:r>
      <w:r>
        <w:rPr/>
        <w:t>a</w:t>
      </w:r>
      <w:r>
        <w:rPr>
          <w:spacing w:val="-1"/>
        </w:rPr>
        <w:t> </w:t>
      </w:r>
      <w:r>
        <w:rPr/>
        <w:t>Harvard módszert járjuk körbe, amely az együttműködő problémamegoldás stratégiájáról szól, fontos tisztán látni, hogy annak ellenére, hogy nagyon sok helyzetben jobb eredményt hoz ez a stratégia, mint a többi, semmiképpen sem alkalmazható minden helyzetben,,</w:t>
      </w:r>
      <w:r>
        <w:rPr>
          <w:spacing w:val="40"/>
        </w:rPr>
        <w:t> </w:t>
      </w:r>
      <w:r>
        <w:rPr/>
        <w:t>vagy nem létezik olyan abszolút skála, amelyen ez a legjobb stratégia. Vannak helyzetek, amikor bármennyire is nyitott az ember az együttműködésre, és bármennyire tisztában van a Harvard módszer előnyeivel, nem ezt kell választania. Az eltérés következhet a kérdés jellegéből, vagy a körülményekből.</w:t>
      </w:r>
      <w:r>
        <w:rPr>
          <w:spacing w:val="40"/>
        </w:rPr>
        <w:t> </w:t>
      </w:r>
      <w:r>
        <w:rPr/>
        <w:t>(Tisztán</w:t>
      </w:r>
      <w:r>
        <w:rPr>
          <w:spacing w:val="40"/>
        </w:rPr>
        <w:t> </w:t>
      </w:r>
      <w:r>
        <w:rPr/>
        <w:t>egydimenziós elosztási eseteket például csak akkor érdemes ezzel a stratégiával kezelni, ha a megegyezésbe bevont feltételek bővíthetőek) Szintén nem helyes a Harvard módszert használni</w:t>
      </w:r>
      <w:r>
        <w:rPr>
          <w:spacing w:val="40"/>
        </w:rPr>
        <w:t> </w:t>
      </w:r>
      <w:r>
        <w:rPr/>
        <w:t>olyan krízis helyzetben, amely azonnali megoldást kíván, vagy a feltárással realizálható hasznon nincs arányban a tárgyalásra fordított erőforrásokkal, vagy a késedelem miatti kockázatokkal.</w:t>
      </w:r>
    </w:p>
    <w:p>
      <w:pPr>
        <w:spacing w:after="0" w:line="360" w:lineRule="auto"/>
        <w:jc w:val="both"/>
        <w:sectPr>
          <w:pgSz w:w="11910" w:h="16840"/>
          <w:pgMar w:header="0" w:footer="1002" w:top="1360" w:bottom="1200" w:left="1300" w:right="1200"/>
        </w:sectPr>
      </w:pPr>
    </w:p>
    <w:p>
      <w:pPr>
        <w:pStyle w:val="Heading1"/>
        <w:numPr>
          <w:ilvl w:val="0"/>
          <w:numId w:val="1"/>
        </w:numPr>
        <w:tabs>
          <w:tab w:pos="1128" w:val="left" w:leader="none"/>
        </w:tabs>
        <w:spacing w:line="240" w:lineRule="auto" w:before="78" w:after="0"/>
        <w:ind w:left="1128" w:right="0" w:hanging="292"/>
        <w:jc w:val="left"/>
        <w:rPr>
          <w:color w:val="365F91"/>
        </w:rPr>
      </w:pPr>
      <w:r>
        <w:rPr>
          <w:color w:val="365F91"/>
        </w:rPr>
        <w:t>Miért</w:t>
      </w:r>
      <w:r>
        <w:rPr>
          <w:color w:val="365F91"/>
          <w:spacing w:val="-8"/>
        </w:rPr>
        <w:t> </w:t>
      </w:r>
      <w:r>
        <w:rPr>
          <w:color w:val="365F91"/>
        </w:rPr>
        <w:t>könnyű</w:t>
      </w:r>
      <w:r>
        <w:rPr>
          <w:color w:val="365F91"/>
          <w:spacing w:val="-3"/>
        </w:rPr>
        <w:t> </w:t>
      </w:r>
      <w:r>
        <w:rPr>
          <w:color w:val="365F91"/>
        </w:rPr>
        <w:t>hibázni?</w:t>
      </w:r>
      <w:r>
        <w:rPr>
          <w:color w:val="365F91"/>
          <w:spacing w:val="-6"/>
        </w:rPr>
        <w:t> </w:t>
      </w:r>
      <w:r>
        <w:rPr>
          <w:color w:val="365F91"/>
        </w:rPr>
        <w:t>–</w:t>
      </w:r>
      <w:r>
        <w:rPr>
          <w:color w:val="365F91"/>
          <w:spacing w:val="-4"/>
        </w:rPr>
        <w:t> </w:t>
      </w:r>
      <w:r>
        <w:rPr>
          <w:color w:val="365F91"/>
        </w:rPr>
        <w:t>információk</w:t>
      </w:r>
      <w:r>
        <w:rPr>
          <w:color w:val="365F91"/>
          <w:spacing w:val="-5"/>
        </w:rPr>
        <w:t> </w:t>
      </w:r>
      <w:r>
        <w:rPr>
          <w:color w:val="365F91"/>
        </w:rPr>
        <w:t>és</w:t>
      </w:r>
      <w:r>
        <w:rPr>
          <w:color w:val="365F91"/>
          <w:spacing w:val="-6"/>
        </w:rPr>
        <w:t> </w:t>
      </w:r>
      <w:r>
        <w:rPr>
          <w:color w:val="365F91"/>
          <w:spacing w:val="-2"/>
        </w:rPr>
        <w:t>történetek</w:t>
      </w:r>
    </w:p>
    <w:p>
      <w:pPr>
        <w:pStyle w:val="BodyText"/>
        <w:rPr>
          <w:rFonts w:ascii="Cambria"/>
          <w:b/>
          <w:sz w:val="28"/>
        </w:rPr>
      </w:pPr>
    </w:p>
    <w:p>
      <w:pPr>
        <w:pStyle w:val="BodyText"/>
        <w:spacing w:before="108"/>
        <w:rPr>
          <w:rFonts w:ascii="Cambria"/>
          <w:b/>
          <w:sz w:val="28"/>
        </w:rPr>
      </w:pPr>
    </w:p>
    <w:p>
      <w:pPr>
        <w:pStyle w:val="BodyText"/>
        <w:spacing w:line="360" w:lineRule="auto" w:before="1"/>
        <w:ind w:left="116" w:right="211"/>
        <w:jc w:val="both"/>
      </w:pPr>
      <w:r>
        <w:rPr/>
        <w:t>Az előző fejezet olyan tárgyalási helyzetekről szólt, amelyekbe aránylag nyugodtan, racionálisan lépünk. A magyarázat arra a feltételezésre épült, hogy a feleknek van ideje</w:t>
      </w:r>
      <w:r>
        <w:rPr>
          <w:spacing w:val="40"/>
        </w:rPr>
        <w:t> </w:t>
      </w:r>
      <w:r>
        <w:rPr/>
        <w:t>felkészülni, a helyzetet</w:t>
      </w:r>
      <w:r>
        <w:rPr>
          <w:spacing w:val="-1"/>
        </w:rPr>
        <w:t> </w:t>
      </w:r>
      <w:r>
        <w:rPr/>
        <w:t>és érdekeiket átgondolni, és stratégiájukat józan nyugalommal mérlegelni.. Azt magyarázta el, hogy</w:t>
      </w:r>
      <w:r>
        <w:rPr>
          <w:spacing w:val="40"/>
        </w:rPr>
        <w:t> </w:t>
      </w:r>
      <w:r>
        <w:rPr/>
        <w:t>ilyen esetben a tárgyalás során, hogyan tudnak a tárgyalópartnerek induló pozíciójukon túllépve, közösen érdekeiket és szükségleteiket felderíteni annak érdekében, hogy a legjobb megoldást tudják megtalálni. Remélem, hogy a folyamat aránylag érthetőnek és egyszerűnek tűnt. De ha ilyen</w:t>
      </w:r>
      <w:r>
        <w:rPr>
          <w:spacing w:val="40"/>
        </w:rPr>
        <w:t> </w:t>
      </w:r>
      <w:r>
        <w:rPr/>
        <w:t>egyszerű, akkor miért nem történik meg az esetek nagy részében? Ebben a fejezetben a leggyakoribb akadályokról lesz szó. Ezek közül is azokról, amelyek aránylag könnyen oldhatóak.</w:t>
      </w:r>
    </w:p>
    <w:p>
      <w:pPr>
        <w:pStyle w:val="BodyText"/>
        <w:spacing w:line="360" w:lineRule="auto" w:before="200"/>
        <w:ind w:left="116" w:right="212"/>
        <w:jc w:val="both"/>
      </w:pPr>
      <w:r>
        <w:rPr/>
        <w:t>A vezetők általában földön járó emberek, akiknek meggyőződése, hogy jól látják, érzékelik és értelmezik a körülöttük zajló eseményeket és tudatos döntéseikkel befolyásolni is tudják azokat és munkatársaikat. Ha ez nem lenne így, nem vállalnának vezető szerepet. Erre a meggyőződésre valamilyen mértékben valószínűleg szükség is van a vezetői munkához. De azt is tudni kell, hogy nem vagyunk csalhatatlanok. Sőt! Az elmúlt évtizedben pszichológiai kutatások sora bizonyította, hogy érzékelésünk és helyzetértelmezéseink nagyon is személyesek és részlegesek. Könnyen tévútra tévedünk</w:t>
      </w:r>
      <w:r>
        <w:rPr>
          <w:spacing w:val="-1"/>
        </w:rPr>
        <w:t> </w:t>
      </w:r>
      <w:r>
        <w:rPr/>
        <w:t>amiatt,</w:t>
      </w:r>
      <w:r>
        <w:rPr>
          <w:spacing w:val="-4"/>
        </w:rPr>
        <w:t> </w:t>
      </w:r>
      <w:r>
        <w:rPr/>
        <w:t>mert</w:t>
      </w:r>
      <w:r>
        <w:rPr>
          <w:spacing w:val="-1"/>
        </w:rPr>
        <w:t> </w:t>
      </w:r>
      <w:r>
        <w:rPr/>
        <w:t>a</w:t>
      </w:r>
      <w:r>
        <w:rPr>
          <w:spacing w:val="-2"/>
        </w:rPr>
        <w:t> </w:t>
      </w:r>
      <w:r>
        <w:rPr/>
        <w:t>tudat</w:t>
      </w:r>
      <w:r>
        <w:rPr>
          <w:spacing w:val="-2"/>
        </w:rPr>
        <w:t> </w:t>
      </w:r>
      <w:r>
        <w:rPr/>
        <w:t>és</w:t>
      </w:r>
      <w:r>
        <w:rPr>
          <w:spacing w:val="-1"/>
        </w:rPr>
        <w:t> </w:t>
      </w:r>
      <w:r>
        <w:rPr/>
        <w:t>a</w:t>
      </w:r>
      <w:r>
        <w:rPr>
          <w:spacing w:val="-4"/>
        </w:rPr>
        <w:t> </w:t>
      </w:r>
      <w:r>
        <w:rPr/>
        <w:t>valóság</w:t>
      </w:r>
      <w:r>
        <w:rPr>
          <w:spacing w:val="-3"/>
        </w:rPr>
        <w:t> </w:t>
      </w:r>
      <w:r>
        <w:rPr/>
        <w:t>közvetlen</w:t>
      </w:r>
      <w:r>
        <w:rPr>
          <w:spacing w:val="-5"/>
        </w:rPr>
        <w:t> </w:t>
      </w:r>
      <w:r>
        <w:rPr/>
        <w:t>kapcsolata</w:t>
      </w:r>
      <w:r>
        <w:rPr>
          <w:spacing w:val="-2"/>
        </w:rPr>
        <w:t> </w:t>
      </w:r>
      <w:r>
        <w:rPr/>
        <w:t>illúzió.</w:t>
      </w:r>
      <w:r>
        <w:rPr>
          <w:spacing w:val="-2"/>
        </w:rPr>
        <w:t> </w:t>
      </w:r>
      <w:r>
        <w:rPr/>
        <w:t>Nincs</w:t>
      </w:r>
      <w:r>
        <w:rPr>
          <w:spacing w:val="-2"/>
        </w:rPr>
        <w:t> </w:t>
      </w:r>
      <w:r>
        <w:rPr/>
        <w:t>tudatos</w:t>
      </w:r>
      <w:r>
        <w:rPr>
          <w:spacing w:val="-2"/>
        </w:rPr>
        <w:t> </w:t>
      </w:r>
      <w:r>
        <w:rPr/>
        <w:t>élmény,</w:t>
      </w:r>
      <w:r>
        <w:rPr>
          <w:spacing w:val="-1"/>
        </w:rPr>
        <w:t> </w:t>
      </w:r>
      <w:r>
        <w:rPr/>
        <w:t>hanem vannak érzékszerveink, és idegrendszerünk, amelyek közvetítik a külső világot. Időnként jeleznek a tudatnak.</w:t>
      </w:r>
      <w:r>
        <w:rPr>
          <w:spacing w:val="40"/>
        </w:rPr>
        <w:t> </w:t>
      </w:r>
      <w:r>
        <w:rPr/>
        <w:t>A tudattalanban általában</w:t>
      </w:r>
      <w:r>
        <w:rPr>
          <w:spacing w:val="-1"/>
        </w:rPr>
        <w:t> </w:t>
      </w:r>
      <w:r>
        <w:rPr/>
        <w:t>valamiféle relevancia alapján dől el, hogy</w:t>
      </w:r>
      <w:r>
        <w:rPr>
          <w:spacing w:val="-1"/>
        </w:rPr>
        <w:t> </w:t>
      </w:r>
      <w:r>
        <w:rPr/>
        <w:t>mi jut el a tudatunkig. A relevancia alapjai korábbi ismereteink, tapasztalataink, a kategóriák (sztereotípiák) amelyeket használunk. Ez után következik az értelmezés, amely megint egy alapvetően heurisztikus folyamat, amelyben értékeink, kultúránk, ízlésünk diktálta szabályok alapján rendezzük számunkra értelmes rendbe azokat a jeleket, amelyek az érzékelés szűrőjén már átjutottak. Így azután az, hogy egy helyzetben mit veszünk észre, mit gondolunk, alapvetően nagyon személyes. Könnyen előfordulhat, hogy miután egy házaspár végigsétál egy utcán, egyikük</w:t>
      </w:r>
      <w:r>
        <w:rPr>
          <w:spacing w:val="40"/>
        </w:rPr>
        <w:t> </w:t>
      </w:r>
      <w:r>
        <w:rPr/>
        <w:t>az építészeti megoldásokat és a környeztet tudja visszaidézni, párja meg a sétálók ruházatára és viselkedésére emlékszik.</w:t>
      </w:r>
    </w:p>
    <w:p>
      <w:pPr>
        <w:pStyle w:val="BodyText"/>
        <w:spacing w:line="360" w:lineRule="auto" w:before="201"/>
        <w:ind w:left="116" w:right="212"/>
        <w:jc w:val="both"/>
      </w:pPr>
      <w:r>
        <w:rPr/>
        <w:t>A tréning során több érdekes tapasztalatot szereznek a résztvevők arról, hogy mennyire részleges a megfigyelés, mennyire befolyásolja az előhangolás, a személyes relevancia és azok a kategóriák, amiket használunk a világ rendszerezésére, és mennyire hajlamosak vagyunk arra, hogy a hiányzó információkat – akár saját magunk számára is észrevétlenül - kiegészítsük. A gyakorlatok során a résztvevőknek lehetősége van azt is megtapasztalni, hogy mennyiféle különböző olvasat (személyes történet) tud pillanatok alatt felépülni ugyanarról az alaptörténetről. Mindenki azt hiszi, hogy az ő története</w:t>
      </w:r>
      <w:r>
        <w:rPr>
          <w:spacing w:val="40"/>
        </w:rPr>
        <w:t> </w:t>
      </w:r>
      <w:r>
        <w:rPr/>
        <w:t>a</w:t>
      </w:r>
      <w:r>
        <w:rPr>
          <w:spacing w:val="36"/>
        </w:rPr>
        <w:t> </w:t>
      </w:r>
      <w:r>
        <w:rPr/>
        <w:t>tényszerű</w:t>
      </w:r>
      <w:r>
        <w:rPr>
          <w:spacing w:val="38"/>
        </w:rPr>
        <w:t> </w:t>
      </w:r>
      <w:r>
        <w:rPr/>
        <w:t>igazság,</w:t>
      </w:r>
      <w:r>
        <w:rPr>
          <w:spacing w:val="40"/>
        </w:rPr>
        <w:t> </w:t>
      </w:r>
      <w:r>
        <w:rPr/>
        <w:t>pedig</w:t>
      </w:r>
      <w:r>
        <w:rPr>
          <w:spacing w:val="38"/>
        </w:rPr>
        <w:t> </w:t>
      </w:r>
      <w:r>
        <w:rPr/>
        <w:t>könnyen</w:t>
      </w:r>
      <w:r>
        <w:rPr>
          <w:spacing w:val="39"/>
        </w:rPr>
        <w:t> </w:t>
      </w:r>
      <w:r>
        <w:rPr/>
        <w:t>előfordulhat,</w:t>
      </w:r>
      <w:r>
        <w:rPr>
          <w:spacing w:val="39"/>
        </w:rPr>
        <w:t> </w:t>
      </w:r>
      <w:r>
        <w:rPr/>
        <w:t>hogy</w:t>
      </w:r>
      <w:r>
        <w:rPr>
          <w:spacing w:val="38"/>
        </w:rPr>
        <w:t> </w:t>
      </w:r>
      <w:r>
        <w:rPr/>
        <w:t>az</w:t>
      </w:r>
      <w:r>
        <w:rPr>
          <w:spacing w:val="38"/>
        </w:rPr>
        <w:t> </w:t>
      </w:r>
      <w:r>
        <w:rPr/>
        <w:t>csak</w:t>
      </w:r>
      <w:r>
        <w:rPr>
          <w:spacing w:val="37"/>
        </w:rPr>
        <w:t> </w:t>
      </w:r>
      <w:r>
        <w:rPr/>
        <w:t>egy</w:t>
      </w:r>
      <w:r>
        <w:rPr>
          <w:spacing w:val="35"/>
        </w:rPr>
        <w:t> </w:t>
      </w:r>
      <w:r>
        <w:rPr/>
        <w:t>téves</w:t>
      </w:r>
      <w:r>
        <w:rPr>
          <w:spacing w:val="38"/>
        </w:rPr>
        <w:t> </w:t>
      </w:r>
      <w:r>
        <w:rPr/>
        <w:t>olvasat.</w:t>
      </w:r>
      <w:r>
        <w:rPr>
          <w:spacing w:val="39"/>
        </w:rPr>
        <w:t> </w:t>
      </w:r>
      <w:r>
        <w:rPr/>
        <w:t>Az</w:t>
      </w:r>
      <w:r>
        <w:rPr>
          <w:spacing w:val="36"/>
        </w:rPr>
        <w:t> </w:t>
      </w:r>
      <w:r>
        <w:rPr/>
        <w:t>is</w:t>
      </w:r>
    </w:p>
    <w:p>
      <w:pPr>
        <w:spacing w:after="0" w:line="360" w:lineRule="auto"/>
        <w:jc w:val="both"/>
        <w:sectPr>
          <w:pgSz w:w="11910" w:h="16840"/>
          <w:pgMar w:header="0" w:footer="1002" w:top="1320" w:bottom="1200" w:left="1300" w:right="1200"/>
        </w:sectPr>
      </w:pPr>
    </w:p>
    <w:p>
      <w:pPr>
        <w:pStyle w:val="BodyText"/>
        <w:spacing w:line="362" w:lineRule="auto" w:before="34"/>
        <w:ind w:left="116" w:right="211"/>
        <w:jc w:val="both"/>
      </w:pPr>
      <w:r>
        <w:rPr/>
        <w:t>előfordul, hogy ugyanarról a dologról, vagy eseményről sarkosan különböző történeteket alkotnak a résztvevők, majd meggyőződéssel vitatkoznak a saját igazukról.</w:t>
      </w:r>
    </w:p>
    <w:p>
      <w:pPr>
        <w:pStyle w:val="BodyText"/>
        <w:spacing w:line="360" w:lineRule="auto" w:before="195"/>
        <w:ind w:left="116" w:right="212"/>
        <w:jc w:val="both"/>
      </w:pPr>
      <w:r>
        <w:rPr/>
        <w:t>A tréninggyakorlat bemutat és tudatosít egy helyzetet, ami gyakran előfordul mindannyiunkkal, csak nem mindig tudatosul. Azt hisszük, hogy ugyanannak a történetnek vagyunk a szereplői, pedig mindannyian más történet alapján értékeljük a helyzetet, vonjuk le a következtetéseinket, vagy más történet alapján cselekszünk. Ennyi elég is a vitához, konfliktushoz. Ha nem oldjuk fel a helyzetet, természetes következmény az erősödő diszharmónia, ellentét, ütközés és növekvő feszültség..</w:t>
      </w:r>
    </w:p>
    <w:p>
      <w:pPr>
        <w:pStyle w:val="BodyText"/>
      </w:pPr>
    </w:p>
    <w:p>
      <w:pPr>
        <w:pStyle w:val="BodyText"/>
        <w:spacing w:before="268"/>
      </w:pPr>
    </w:p>
    <w:p>
      <w:pPr>
        <w:pStyle w:val="Heading2"/>
        <w:numPr>
          <w:ilvl w:val="1"/>
          <w:numId w:val="1"/>
        </w:numPr>
        <w:tabs>
          <w:tab w:pos="599" w:val="left" w:leader="none"/>
        </w:tabs>
        <w:spacing w:line="240" w:lineRule="auto" w:before="0" w:after="0"/>
        <w:ind w:left="599" w:right="0" w:hanging="483"/>
        <w:jc w:val="left"/>
      </w:pPr>
      <w:r>
        <w:rPr>
          <w:color w:val="4F81BC"/>
        </w:rPr>
        <w:t>A</w:t>
      </w:r>
      <w:r>
        <w:rPr>
          <w:color w:val="4F81BC"/>
          <w:spacing w:val="-7"/>
        </w:rPr>
        <w:t> </w:t>
      </w:r>
      <w:r>
        <w:rPr>
          <w:color w:val="4F81BC"/>
        </w:rPr>
        <w:t>kognitív</w:t>
      </w:r>
      <w:r>
        <w:rPr>
          <w:color w:val="4F81BC"/>
          <w:spacing w:val="-6"/>
        </w:rPr>
        <w:t> </w:t>
      </w:r>
      <w:r>
        <w:rPr>
          <w:color w:val="4F81BC"/>
          <w:spacing w:val="-2"/>
        </w:rPr>
        <w:t>létra</w:t>
      </w:r>
    </w:p>
    <w:p>
      <w:pPr>
        <w:pStyle w:val="BodyText"/>
        <w:spacing w:line="360" w:lineRule="auto" w:before="153"/>
        <w:ind w:left="116" w:right="214"/>
        <w:jc w:val="both"/>
      </w:pPr>
      <w:r>
        <w:rPr/>
        <w:t>Az ilyen konfliktusok oldásához érdemes végiggondolni hogyan alakulnak ki történeteink és következtetéseink,</w:t>
      </w:r>
      <w:r>
        <w:rPr>
          <w:spacing w:val="64"/>
        </w:rPr>
        <w:t> </w:t>
      </w:r>
      <w:r>
        <w:rPr/>
        <w:t>vagyis</w:t>
      </w:r>
      <w:r>
        <w:rPr>
          <w:spacing w:val="63"/>
        </w:rPr>
        <w:t> </w:t>
      </w:r>
      <w:r>
        <w:rPr/>
        <w:t>azok</w:t>
      </w:r>
      <w:r>
        <w:rPr>
          <w:spacing w:val="67"/>
        </w:rPr>
        <w:t> </w:t>
      </w:r>
      <w:r>
        <w:rPr/>
        <w:t>a</w:t>
      </w:r>
      <w:r>
        <w:rPr>
          <w:spacing w:val="63"/>
        </w:rPr>
        <w:t> </w:t>
      </w:r>
      <w:r>
        <w:rPr/>
        <w:t>dolgok,</w:t>
      </w:r>
      <w:r>
        <w:rPr>
          <w:spacing w:val="64"/>
        </w:rPr>
        <w:t> </w:t>
      </w:r>
      <w:r>
        <w:rPr/>
        <w:t>amelyek</w:t>
      </w:r>
      <w:r>
        <w:rPr>
          <w:spacing w:val="64"/>
        </w:rPr>
        <w:t> </w:t>
      </w:r>
      <w:r>
        <w:rPr/>
        <w:t>cselekedetinket</w:t>
      </w:r>
      <w:r>
        <w:rPr>
          <w:spacing w:val="68"/>
        </w:rPr>
        <w:t> </w:t>
      </w:r>
      <w:r>
        <w:rPr/>
        <w:t>irányítják.</w:t>
      </w:r>
      <w:r>
        <w:rPr>
          <w:spacing w:val="66"/>
        </w:rPr>
        <w:t> </w:t>
      </w:r>
      <w:r>
        <w:rPr/>
        <w:t>A</w:t>
      </w:r>
      <w:r>
        <w:rPr>
          <w:spacing w:val="63"/>
        </w:rPr>
        <w:t> </w:t>
      </w:r>
      <w:r>
        <w:rPr/>
        <w:t>rajzon</w:t>
      </w:r>
      <w:r>
        <w:rPr>
          <w:spacing w:val="64"/>
        </w:rPr>
        <w:t> </w:t>
      </w:r>
      <w:r>
        <w:rPr>
          <w:spacing w:val="-2"/>
        </w:rPr>
        <w:t>szereplő</w:t>
      </w:r>
    </w:p>
    <w:p>
      <w:pPr>
        <w:pStyle w:val="BodyText"/>
        <w:spacing w:line="360" w:lineRule="auto"/>
        <w:ind w:left="116" w:right="211"/>
        <w:jc w:val="both"/>
      </w:pPr>
      <w:r>
        <w:rPr/>
        <w:t>„kognitív létra” a valóság talaján áll. Azt mutatja, hogy a valóságban elvben minden információ rendelkezésre áll. Mi azonban a rendelkezésre álló információkból csak néhányat tudunk felfogni. Még akkor is, ha mindent láthattunk. De sokszor nem is láthatunk mindent. Nem csoda hát, hogy a potenciálisan létező információknak csak egy kis része jut el a tudatunkhoz. Ezek az észleléseink és megfigyeléseink. Ezeket próbáljuk értelmezni értékeink, kultúránk és kategóriáink alapján. Vannak, akik úgy hiszik, hogy az ő értelmezésük az egyetlen igaz verzió, pedig gyakran sokféle értelmezés lehetséges. Az értelmezés után még gyakran ki is egészítjük a formálódó elképzelést további feltételezésekkel, és így kialakul az a történet, amit mi látunk és értünk. Végül a saját helyzetértelmezésünk, saját történetünk alapján – vagyis az alapján, ahogy látjuk a dolgokat – vonjuk le következtetéseinket és cselekszünk, ha szükséges.</w:t>
      </w:r>
    </w:p>
    <w:sectPr>
      <w:pgSz w:w="11910" w:h="16840"/>
      <w:pgMar w:header="0" w:footer="1002" w:top="1360" w:bottom="1200" w:left="1300" w:right="12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Arial">
    <w:altName w:val="Arial"/>
    <w:charset w:val="EE"/>
    <w:family w:val="swiss"/>
    <w:pitch w:val="variable"/>
  </w:font>
  <w:font w:name="Calibri">
    <w:altName w:val="Calibri"/>
    <w:charset w:val="EE"/>
    <w:family w:val="swiss"/>
    <w:pitch w:val="variable"/>
  </w:font>
  <w:font w:name="Cambria">
    <w:altName w:val="Cambria"/>
    <w:charset w:val="EE"/>
    <w:family w:val="roman"/>
    <w:pitch w:val="variable"/>
  </w:font>
  <w:font w:name="Arial Black">
    <w:altName w:val="Arial Black"/>
    <w:charset w:val="EE"/>
    <w:family w:val="swiss"/>
    <w:pitch w:val="variable"/>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280640">
              <wp:simplePos x="0" y="0"/>
              <wp:positionH relativeFrom="page">
                <wp:posOffset>3670427</wp:posOffset>
              </wp:positionH>
              <wp:positionV relativeFrom="page">
                <wp:posOffset>9916159</wp:posOffset>
              </wp:positionV>
              <wp:extent cx="232410" cy="16573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32410" cy="165735"/>
                      </a:xfrm>
                      <a:prstGeom prst="rect">
                        <a:avLst/>
                      </a:prstGeom>
                    </wps:spPr>
                    <wps:txbx>
                      <w:txbxContent>
                        <w:p>
                          <w:pPr>
                            <w:pStyle w:val="BodyText"/>
                            <w:spacing w:line="245" w:lineRule="exact"/>
                            <w:ind w:left="6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89.010010pt;margin-top:780.799988pt;width:18.3pt;height:13.05pt;mso-position-horizontal-relative:page;mso-position-vertical-relative:page;z-index:-16035840" type="#_x0000_t202" id="docshape1" filled="false" stroked="false">
              <v:textbox inset="0,0,0,0">
                <w:txbxContent>
                  <w:p>
                    <w:pPr>
                      <w:pStyle w:val="BodyText"/>
                      <w:spacing w:line="245" w:lineRule="exact"/>
                      <w:ind w:left="6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0"/>
      <w:numFmt w:val="bullet"/>
      <w:lvlText w:val=""/>
      <w:lvlJc w:val="left"/>
      <w:pPr>
        <w:ind w:left="836" w:hanging="360"/>
      </w:pPr>
      <w:rPr>
        <w:rFonts w:hint="default" w:ascii="Symbol" w:hAnsi="Symbol" w:eastAsia="Symbol" w:cs="Symbol"/>
        <w:b w:val="0"/>
        <w:bCs w:val="0"/>
        <w:i w:val="0"/>
        <w:iCs w:val="0"/>
        <w:spacing w:val="0"/>
        <w:w w:val="100"/>
        <w:sz w:val="22"/>
        <w:szCs w:val="22"/>
        <w:lang w:val="hu-HU" w:eastAsia="en-US" w:bidi="ar-SA"/>
      </w:rPr>
    </w:lvl>
    <w:lvl w:ilvl="1">
      <w:start w:val="0"/>
      <w:numFmt w:val="bullet"/>
      <w:lvlText w:val="•"/>
      <w:lvlJc w:val="left"/>
      <w:pPr>
        <w:ind w:left="1696" w:hanging="360"/>
      </w:pPr>
      <w:rPr>
        <w:rFonts w:hint="default"/>
        <w:lang w:val="hu-HU" w:eastAsia="en-US" w:bidi="ar-SA"/>
      </w:rPr>
    </w:lvl>
    <w:lvl w:ilvl="2">
      <w:start w:val="0"/>
      <w:numFmt w:val="bullet"/>
      <w:lvlText w:val="•"/>
      <w:lvlJc w:val="left"/>
      <w:pPr>
        <w:ind w:left="2553" w:hanging="360"/>
      </w:pPr>
      <w:rPr>
        <w:rFonts w:hint="default"/>
        <w:lang w:val="hu-HU" w:eastAsia="en-US" w:bidi="ar-SA"/>
      </w:rPr>
    </w:lvl>
    <w:lvl w:ilvl="3">
      <w:start w:val="0"/>
      <w:numFmt w:val="bullet"/>
      <w:lvlText w:val="•"/>
      <w:lvlJc w:val="left"/>
      <w:pPr>
        <w:ind w:left="3409" w:hanging="360"/>
      </w:pPr>
      <w:rPr>
        <w:rFonts w:hint="default"/>
        <w:lang w:val="hu-HU" w:eastAsia="en-US" w:bidi="ar-SA"/>
      </w:rPr>
    </w:lvl>
    <w:lvl w:ilvl="4">
      <w:start w:val="0"/>
      <w:numFmt w:val="bullet"/>
      <w:lvlText w:val="•"/>
      <w:lvlJc w:val="left"/>
      <w:pPr>
        <w:ind w:left="4266" w:hanging="360"/>
      </w:pPr>
      <w:rPr>
        <w:rFonts w:hint="default"/>
        <w:lang w:val="hu-HU" w:eastAsia="en-US" w:bidi="ar-SA"/>
      </w:rPr>
    </w:lvl>
    <w:lvl w:ilvl="5">
      <w:start w:val="0"/>
      <w:numFmt w:val="bullet"/>
      <w:lvlText w:val="•"/>
      <w:lvlJc w:val="left"/>
      <w:pPr>
        <w:ind w:left="5123" w:hanging="360"/>
      </w:pPr>
      <w:rPr>
        <w:rFonts w:hint="default"/>
        <w:lang w:val="hu-HU" w:eastAsia="en-US" w:bidi="ar-SA"/>
      </w:rPr>
    </w:lvl>
    <w:lvl w:ilvl="6">
      <w:start w:val="0"/>
      <w:numFmt w:val="bullet"/>
      <w:lvlText w:val="•"/>
      <w:lvlJc w:val="left"/>
      <w:pPr>
        <w:ind w:left="5979" w:hanging="360"/>
      </w:pPr>
      <w:rPr>
        <w:rFonts w:hint="default"/>
        <w:lang w:val="hu-HU" w:eastAsia="en-US" w:bidi="ar-SA"/>
      </w:rPr>
    </w:lvl>
    <w:lvl w:ilvl="7">
      <w:start w:val="0"/>
      <w:numFmt w:val="bullet"/>
      <w:lvlText w:val="•"/>
      <w:lvlJc w:val="left"/>
      <w:pPr>
        <w:ind w:left="6836" w:hanging="360"/>
      </w:pPr>
      <w:rPr>
        <w:rFonts w:hint="default"/>
        <w:lang w:val="hu-HU" w:eastAsia="en-US" w:bidi="ar-SA"/>
      </w:rPr>
    </w:lvl>
    <w:lvl w:ilvl="8">
      <w:start w:val="0"/>
      <w:numFmt w:val="bullet"/>
      <w:lvlText w:val="•"/>
      <w:lvlJc w:val="left"/>
      <w:pPr>
        <w:ind w:left="7693" w:hanging="360"/>
      </w:pPr>
      <w:rPr>
        <w:rFonts w:hint="default"/>
        <w:lang w:val="hu-HU" w:eastAsia="en-US" w:bidi="ar-SA"/>
      </w:rPr>
    </w:lvl>
  </w:abstractNum>
  <w:abstractNum w:abstractNumId="4">
    <w:multiLevelType w:val="hybridMultilevel"/>
    <w:lvl w:ilvl="0">
      <w:start w:val="0"/>
      <w:numFmt w:val="bullet"/>
      <w:lvlText w:val=""/>
      <w:lvlJc w:val="left"/>
      <w:pPr>
        <w:ind w:left="886" w:hanging="360"/>
      </w:pPr>
      <w:rPr>
        <w:rFonts w:hint="default" w:ascii="Symbol" w:hAnsi="Symbol" w:eastAsia="Symbol" w:cs="Symbol"/>
        <w:b w:val="0"/>
        <w:bCs w:val="0"/>
        <w:i w:val="0"/>
        <w:iCs w:val="0"/>
        <w:spacing w:val="0"/>
        <w:w w:val="100"/>
        <w:sz w:val="22"/>
        <w:szCs w:val="22"/>
        <w:lang w:val="hu-HU" w:eastAsia="en-US" w:bidi="ar-SA"/>
      </w:rPr>
    </w:lvl>
    <w:lvl w:ilvl="1">
      <w:start w:val="0"/>
      <w:numFmt w:val="bullet"/>
      <w:lvlText w:val="•"/>
      <w:lvlJc w:val="left"/>
      <w:pPr>
        <w:ind w:left="1732" w:hanging="360"/>
      </w:pPr>
      <w:rPr>
        <w:rFonts w:hint="default"/>
        <w:lang w:val="hu-HU" w:eastAsia="en-US" w:bidi="ar-SA"/>
      </w:rPr>
    </w:lvl>
    <w:lvl w:ilvl="2">
      <w:start w:val="0"/>
      <w:numFmt w:val="bullet"/>
      <w:lvlText w:val="•"/>
      <w:lvlJc w:val="left"/>
      <w:pPr>
        <w:ind w:left="2585" w:hanging="360"/>
      </w:pPr>
      <w:rPr>
        <w:rFonts w:hint="default"/>
        <w:lang w:val="hu-HU" w:eastAsia="en-US" w:bidi="ar-SA"/>
      </w:rPr>
    </w:lvl>
    <w:lvl w:ilvl="3">
      <w:start w:val="0"/>
      <w:numFmt w:val="bullet"/>
      <w:lvlText w:val="•"/>
      <w:lvlJc w:val="left"/>
      <w:pPr>
        <w:ind w:left="3437" w:hanging="360"/>
      </w:pPr>
      <w:rPr>
        <w:rFonts w:hint="default"/>
        <w:lang w:val="hu-HU" w:eastAsia="en-US" w:bidi="ar-SA"/>
      </w:rPr>
    </w:lvl>
    <w:lvl w:ilvl="4">
      <w:start w:val="0"/>
      <w:numFmt w:val="bullet"/>
      <w:lvlText w:val="•"/>
      <w:lvlJc w:val="left"/>
      <w:pPr>
        <w:ind w:left="4290" w:hanging="360"/>
      </w:pPr>
      <w:rPr>
        <w:rFonts w:hint="default"/>
        <w:lang w:val="hu-HU" w:eastAsia="en-US" w:bidi="ar-SA"/>
      </w:rPr>
    </w:lvl>
    <w:lvl w:ilvl="5">
      <w:start w:val="0"/>
      <w:numFmt w:val="bullet"/>
      <w:lvlText w:val="•"/>
      <w:lvlJc w:val="left"/>
      <w:pPr>
        <w:ind w:left="5143" w:hanging="360"/>
      </w:pPr>
      <w:rPr>
        <w:rFonts w:hint="default"/>
        <w:lang w:val="hu-HU" w:eastAsia="en-US" w:bidi="ar-SA"/>
      </w:rPr>
    </w:lvl>
    <w:lvl w:ilvl="6">
      <w:start w:val="0"/>
      <w:numFmt w:val="bullet"/>
      <w:lvlText w:val="•"/>
      <w:lvlJc w:val="left"/>
      <w:pPr>
        <w:ind w:left="5995" w:hanging="360"/>
      </w:pPr>
      <w:rPr>
        <w:rFonts w:hint="default"/>
        <w:lang w:val="hu-HU" w:eastAsia="en-US" w:bidi="ar-SA"/>
      </w:rPr>
    </w:lvl>
    <w:lvl w:ilvl="7">
      <w:start w:val="0"/>
      <w:numFmt w:val="bullet"/>
      <w:lvlText w:val="•"/>
      <w:lvlJc w:val="left"/>
      <w:pPr>
        <w:ind w:left="6848" w:hanging="360"/>
      </w:pPr>
      <w:rPr>
        <w:rFonts w:hint="default"/>
        <w:lang w:val="hu-HU" w:eastAsia="en-US" w:bidi="ar-SA"/>
      </w:rPr>
    </w:lvl>
    <w:lvl w:ilvl="8">
      <w:start w:val="0"/>
      <w:numFmt w:val="bullet"/>
      <w:lvlText w:val="•"/>
      <w:lvlJc w:val="left"/>
      <w:pPr>
        <w:ind w:left="7701" w:hanging="360"/>
      </w:pPr>
      <w:rPr>
        <w:rFonts w:hint="default"/>
        <w:lang w:val="hu-HU" w:eastAsia="en-US" w:bidi="ar-SA"/>
      </w:rPr>
    </w:lvl>
  </w:abstractNum>
  <w:abstractNum w:abstractNumId="3">
    <w:multiLevelType w:val="hybridMultilevel"/>
    <w:lvl w:ilvl="0">
      <w:start w:val="2"/>
      <w:numFmt w:val="decimal"/>
      <w:lvlText w:val="%1"/>
      <w:lvlJc w:val="left"/>
      <w:pPr>
        <w:ind w:left="600" w:hanging="485"/>
        <w:jc w:val="left"/>
      </w:pPr>
      <w:rPr>
        <w:rFonts w:hint="default"/>
        <w:lang w:val="hu-HU" w:eastAsia="en-US" w:bidi="ar-SA"/>
      </w:rPr>
    </w:lvl>
    <w:lvl w:ilvl="1">
      <w:start w:val="4"/>
      <w:numFmt w:val="decimal"/>
      <w:lvlText w:val="%1.%2."/>
      <w:lvlJc w:val="left"/>
      <w:pPr>
        <w:ind w:left="600" w:hanging="485"/>
        <w:jc w:val="left"/>
      </w:pPr>
      <w:rPr>
        <w:rFonts w:hint="default" w:ascii="Cambria" w:hAnsi="Cambria" w:eastAsia="Cambria" w:cs="Cambria"/>
        <w:b/>
        <w:bCs/>
        <w:i w:val="0"/>
        <w:iCs w:val="0"/>
        <w:color w:val="4F81BC"/>
        <w:spacing w:val="0"/>
        <w:w w:val="99"/>
        <w:sz w:val="26"/>
        <w:szCs w:val="26"/>
        <w:lang w:val="hu-HU" w:eastAsia="en-US" w:bidi="ar-SA"/>
      </w:rPr>
    </w:lvl>
    <w:lvl w:ilvl="2">
      <w:start w:val="1"/>
      <w:numFmt w:val="decimal"/>
      <w:lvlText w:val="%3."/>
      <w:lvlJc w:val="left"/>
      <w:pPr>
        <w:ind w:left="1556" w:hanging="360"/>
        <w:jc w:val="left"/>
      </w:pPr>
      <w:rPr>
        <w:rFonts w:hint="default" w:ascii="Calibri" w:hAnsi="Calibri" w:eastAsia="Calibri" w:cs="Calibri"/>
        <w:b w:val="0"/>
        <w:bCs w:val="0"/>
        <w:i w:val="0"/>
        <w:iCs w:val="0"/>
        <w:spacing w:val="0"/>
        <w:w w:val="100"/>
        <w:sz w:val="22"/>
        <w:szCs w:val="22"/>
        <w:lang w:val="hu-HU" w:eastAsia="en-US" w:bidi="ar-SA"/>
      </w:rPr>
    </w:lvl>
    <w:lvl w:ilvl="3">
      <w:start w:val="0"/>
      <w:numFmt w:val="bullet"/>
      <w:lvlText w:val="•"/>
      <w:lvlJc w:val="left"/>
      <w:pPr>
        <w:ind w:left="3303" w:hanging="360"/>
      </w:pPr>
      <w:rPr>
        <w:rFonts w:hint="default"/>
        <w:lang w:val="hu-HU" w:eastAsia="en-US" w:bidi="ar-SA"/>
      </w:rPr>
    </w:lvl>
    <w:lvl w:ilvl="4">
      <w:start w:val="0"/>
      <w:numFmt w:val="bullet"/>
      <w:lvlText w:val="•"/>
      <w:lvlJc w:val="left"/>
      <w:pPr>
        <w:ind w:left="4175" w:hanging="360"/>
      </w:pPr>
      <w:rPr>
        <w:rFonts w:hint="default"/>
        <w:lang w:val="hu-HU" w:eastAsia="en-US" w:bidi="ar-SA"/>
      </w:rPr>
    </w:lvl>
    <w:lvl w:ilvl="5">
      <w:start w:val="0"/>
      <w:numFmt w:val="bullet"/>
      <w:lvlText w:val="•"/>
      <w:lvlJc w:val="left"/>
      <w:pPr>
        <w:ind w:left="5047" w:hanging="360"/>
      </w:pPr>
      <w:rPr>
        <w:rFonts w:hint="default"/>
        <w:lang w:val="hu-HU" w:eastAsia="en-US" w:bidi="ar-SA"/>
      </w:rPr>
    </w:lvl>
    <w:lvl w:ilvl="6">
      <w:start w:val="0"/>
      <w:numFmt w:val="bullet"/>
      <w:lvlText w:val="•"/>
      <w:lvlJc w:val="left"/>
      <w:pPr>
        <w:ind w:left="5919" w:hanging="360"/>
      </w:pPr>
      <w:rPr>
        <w:rFonts w:hint="default"/>
        <w:lang w:val="hu-HU" w:eastAsia="en-US" w:bidi="ar-SA"/>
      </w:rPr>
    </w:lvl>
    <w:lvl w:ilvl="7">
      <w:start w:val="0"/>
      <w:numFmt w:val="bullet"/>
      <w:lvlText w:val="•"/>
      <w:lvlJc w:val="left"/>
      <w:pPr>
        <w:ind w:left="6790" w:hanging="360"/>
      </w:pPr>
      <w:rPr>
        <w:rFonts w:hint="default"/>
        <w:lang w:val="hu-HU" w:eastAsia="en-US" w:bidi="ar-SA"/>
      </w:rPr>
    </w:lvl>
    <w:lvl w:ilvl="8">
      <w:start w:val="0"/>
      <w:numFmt w:val="bullet"/>
      <w:lvlText w:val="•"/>
      <w:lvlJc w:val="left"/>
      <w:pPr>
        <w:ind w:left="7662" w:hanging="360"/>
      </w:pPr>
      <w:rPr>
        <w:rFonts w:hint="default"/>
        <w:lang w:val="hu-HU" w:eastAsia="en-US" w:bidi="ar-SA"/>
      </w:rPr>
    </w:lvl>
  </w:abstractNum>
  <w:abstractNum w:abstractNumId="1">
    <w:multiLevelType w:val="hybridMultilevel"/>
    <w:lvl w:ilvl="0">
      <w:start w:val="2"/>
      <w:numFmt w:val="decimal"/>
      <w:lvlText w:val="%1."/>
      <w:lvlJc w:val="left"/>
      <w:pPr>
        <w:ind w:left="2997" w:hanging="360"/>
        <w:jc w:val="right"/>
      </w:pPr>
      <w:rPr>
        <w:rFonts w:hint="default" w:ascii="Calibri" w:hAnsi="Calibri" w:eastAsia="Calibri" w:cs="Calibri"/>
        <w:b/>
        <w:bCs/>
        <w:i w:val="0"/>
        <w:iCs w:val="0"/>
        <w:spacing w:val="0"/>
        <w:w w:val="100"/>
        <w:sz w:val="22"/>
        <w:szCs w:val="22"/>
        <w:lang w:val="hu-HU" w:eastAsia="en-US" w:bidi="ar-SA"/>
      </w:rPr>
    </w:lvl>
    <w:lvl w:ilvl="1">
      <w:start w:val="0"/>
      <w:numFmt w:val="bullet"/>
      <w:lvlText w:val="•"/>
      <w:lvlJc w:val="left"/>
      <w:pPr>
        <w:ind w:left="3640" w:hanging="360"/>
      </w:pPr>
      <w:rPr>
        <w:rFonts w:hint="default"/>
        <w:lang w:val="hu-HU" w:eastAsia="en-US" w:bidi="ar-SA"/>
      </w:rPr>
    </w:lvl>
    <w:lvl w:ilvl="2">
      <w:start w:val="0"/>
      <w:numFmt w:val="bullet"/>
      <w:lvlText w:val="•"/>
      <w:lvlJc w:val="left"/>
      <w:pPr>
        <w:ind w:left="4281" w:hanging="360"/>
      </w:pPr>
      <w:rPr>
        <w:rFonts w:hint="default"/>
        <w:lang w:val="hu-HU" w:eastAsia="en-US" w:bidi="ar-SA"/>
      </w:rPr>
    </w:lvl>
    <w:lvl w:ilvl="3">
      <w:start w:val="0"/>
      <w:numFmt w:val="bullet"/>
      <w:lvlText w:val="•"/>
      <w:lvlJc w:val="left"/>
      <w:pPr>
        <w:ind w:left="4921" w:hanging="360"/>
      </w:pPr>
      <w:rPr>
        <w:rFonts w:hint="default"/>
        <w:lang w:val="hu-HU" w:eastAsia="en-US" w:bidi="ar-SA"/>
      </w:rPr>
    </w:lvl>
    <w:lvl w:ilvl="4">
      <w:start w:val="0"/>
      <w:numFmt w:val="bullet"/>
      <w:lvlText w:val="•"/>
      <w:lvlJc w:val="left"/>
      <w:pPr>
        <w:ind w:left="5562" w:hanging="360"/>
      </w:pPr>
      <w:rPr>
        <w:rFonts w:hint="default"/>
        <w:lang w:val="hu-HU" w:eastAsia="en-US" w:bidi="ar-SA"/>
      </w:rPr>
    </w:lvl>
    <w:lvl w:ilvl="5">
      <w:start w:val="0"/>
      <w:numFmt w:val="bullet"/>
      <w:lvlText w:val="•"/>
      <w:lvlJc w:val="left"/>
      <w:pPr>
        <w:ind w:left="6203" w:hanging="360"/>
      </w:pPr>
      <w:rPr>
        <w:rFonts w:hint="default"/>
        <w:lang w:val="hu-HU" w:eastAsia="en-US" w:bidi="ar-SA"/>
      </w:rPr>
    </w:lvl>
    <w:lvl w:ilvl="6">
      <w:start w:val="0"/>
      <w:numFmt w:val="bullet"/>
      <w:lvlText w:val="•"/>
      <w:lvlJc w:val="left"/>
      <w:pPr>
        <w:ind w:left="6843" w:hanging="360"/>
      </w:pPr>
      <w:rPr>
        <w:rFonts w:hint="default"/>
        <w:lang w:val="hu-HU" w:eastAsia="en-US" w:bidi="ar-SA"/>
      </w:rPr>
    </w:lvl>
    <w:lvl w:ilvl="7">
      <w:start w:val="0"/>
      <w:numFmt w:val="bullet"/>
      <w:lvlText w:val="•"/>
      <w:lvlJc w:val="left"/>
      <w:pPr>
        <w:ind w:left="7484" w:hanging="360"/>
      </w:pPr>
      <w:rPr>
        <w:rFonts w:hint="default"/>
        <w:lang w:val="hu-HU" w:eastAsia="en-US" w:bidi="ar-SA"/>
      </w:rPr>
    </w:lvl>
    <w:lvl w:ilvl="8">
      <w:start w:val="0"/>
      <w:numFmt w:val="bullet"/>
      <w:lvlText w:val="•"/>
      <w:lvlJc w:val="left"/>
      <w:pPr>
        <w:ind w:left="8125" w:hanging="360"/>
      </w:pPr>
      <w:rPr>
        <w:rFonts w:hint="default"/>
        <w:lang w:val="hu-HU" w:eastAsia="en-US" w:bidi="ar-SA"/>
      </w:rPr>
    </w:lvl>
  </w:abstractNum>
  <w:abstractNum w:abstractNumId="0">
    <w:multiLevelType w:val="hybridMultilevel"/>
    <w:lvl w:ilvl="0">
      <w:start w:val="1"/>
      <w:numFmt w:val="decimal"/>
      <w:lvlText w:val="%1."/>
      <w:lvlJc w:val="left"/>
      <w:pPr>
        <w:ind w:left="836" w:hanging="360"/>
        <w:jc w:val="right"/>
      </w:pPr>
      <w:rPr>
        <w:rFonts w:hint="default"/>
        <w:spacing w:val="0"/>
        <w:w w:val="99"/>
        <w:lang w:val="hu-HU" w:eastAsia="en-US" w:bidi="ar-SA"/>
      </w:rPr>
    </w:lvl>
    <w:lvl w:ilvl="1">
      <w:start w:val="1"/>
      <w:numFmt w:val="decimal"/>
      <w:lvlText w:val="%1.%2."/>
      <w:lvlJc w:val="left"/>
      <w:pPr>
        <w:ind w:left="1321" w:hanging="485"/>
        <w:jc w:val="right"/>
      </w:pPr>
      <w:rPr>
        <w:rFonts w:hint="default" w:ascii="Cambria" w:hAnsi="Cambria" w:eastAsia="Cambria" w:cs="Cambria"/>
        <w:b/>
        <w:bCs/>
        <w:i w:val="0"/>
        <w:iCs w:val="0"/>
        <w:color w:val="4F81BC"/>
        <w:spacing w:val="-1"/>
        <w:w w:val="99"/>
        <w:sz w:val="26"/>
        <w:szCs w:val="26"/>
        <w:lang w:val="hu-HU" w:eastAsia="en-US" w:bidi="ar-SA"/>
      </w:rPr>
    </w:lvl>
    <w:lvl w:ilvl="2">
      <w:start w:val="1"/>
      <w:numFmt w:val="decimal"/>
      <w:lvlText w:val="%1.%2.%3."/>
      <w:lvlJc w:val="left"/>
      <w:pPr>
        <w:ind w:left="706" w:hanging="591"/>
        <w:jc w:val="left"/>
      </w:pPr>
      <w:rPr>
        <w:rFonts w:hint="default" w:ascii="Cambria" w:hAnsi="Cambria" w:eastAsia="Cambria" w:cs="Cambria"/>
        <w:b/>
        <w:bCs/>
        <w:i w:val="0"/>
        <w:iCs w:val="0"/>
        <w:color w:val="4F81BC"/>
        <w:spacing w:val="-2"/>
        <w:w w:val="100"/>
        <w:sz w:val="22"/>
        <w:szCs w:val="22"/>
        <w:lang w:val="hu-HU" w:eastAsia="en-US" w:bidi="ar-SA"/>
      </w:rPr>
    </w:lvl>
    <w:lvl w:ilvl="3">
      <w:start w:val="0"/>
      <w:numFmt w:val="bullet"/>
      <w:lvlText w:val=""/>
      <w:lvlJc w:val="left"/>
      <w:pPr>
        <w:ind w:left="836" w:hanging="360"/>
      </w:pPr>
      <w:rPr>
        <w:rFonts w:hint="default" w:ascii="Symbol" w:hAnsi="Symbol" w:eastAsia="Symbol" w:cs="Symbol"/>
        <w:b w:val="0"/>
        <w:bCs w:val="0"/>
        <w:i w:val="0"/>
        <w:iCs w:val="0"/>
        <w:spacing w:val="0"/>
        <w:w w:val="100"/>
        <w:sz w:val="22"/>
        <w:szCs w:val="22"/>
        <w:lang w:val="hu-HU" w:eastAsia="en-US" w:bidi="ar-SA"/>
      </w:rPr>
    </w:lvl>
    <w:lvl w:ilvl="4">
      <w:start w:val="0"/>
      <w:numFmt w:val="bullet"/>
      <w:lvlText w:val="•"/>
      <w:lvlJc w:val="left"/>
      <w:pPr>
        <w:ind w:left="3000" w:hanging="360"/>
      </w:pPr>
      <w:rPr>
        <w:rFonts w:hint="default"/>
        <w:lang w:val="hu-HU" w:eastAsia="en-US" w:bidi="ar-SA"/>
      </w:rPr>
    </w:lvl>
    <w:lvl w:ilvl="5">
      <w:start w:val="0"/>
      <w:numFmt w:val="bullet"/>
      <w:lvlText w:val="•"/>
      <w:lvlJc w:val="left"/>
      <w:pPr>
        <w:ind w:left="4067" w:hanging="360"/>
      </w:pPr>
      <w:rPr>
        <w:rFonts w:hint="default"/>
        <w:lang w:val="hu-HU" w:eastAsia="en-US" w:bidi="ar-SA"/>
      </w:rPr>
    </w:lvl>
    <w:lvl w:ilvl="6">
      <w:start w:val="0"/>
      <w:numFmt w:val="bullet"/>
      <w:lvlText w:val="•"/>
      <w:lvlJc w:val="left"/>
      <w:pPr>
        <w:ind w:left="5135" w:hanging="360"/>
      </w:pPr>
      <w:rPr>
        <w:rFonts w:hint="default"/>
        <w:lang w:val="hu-HU" w:eastAsia="en-US" w:bidi="ar-SA"/>
      </w:rPr>
    </w:lvl>
    <w:lvl w:ilvl="7">
      <w:start w:val="0"/>
      <w:numFmt w:val="bullet"/>
      <w:lvlText w:val="•"/>
      <w:lvlJc w:val="left"/>
      <w:pPr>
        <w:ind w:left="6203" w:hanging="360"/>
      </w:pPr>
      <w:rPr>
        <w:rFonts w:hint="default"/>
        <w:lang w:val="hu-HU" w:eastAsia="en-US" w:bidi="ar-SA"/>
      </w:rPr>
    </w:lvl>
    <w:lvl w:ilvl="8">
      <w:start w:val="0"/>
      <w:numFmt w:val="bullet"/>
      <w:lvlText w:val="•"/>
      <w:lvlJc w:val="left"/>
      <w:pPr>
        <w:ind w:left="7270" w:hanging="360"/>
      </w:pPr>
      <w:rPr>
        <w:rFonts w:hint="default"/>
        <w:lang w:val="hu-HU" w:eastAsia="en-US" w:bidi="ar-SA"/>
      </w:rPr>
    </w:lvl>
  </w:abstractNum>
  <w:num w:numId="3">
    <w:abstractNumId w:val="2"/>
  </w:num>
  <w:num w:numId="5">
    <w:abstractNumId w:val="4"/>
  </w:num>
  <w:num w:numId="4">
    <w:abstractNumId w:val="3"/>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hu-HU" w:eastAsia="en-US" w:bidi="ar-SA"/>
    </w:rPr>
  </w:style>
  <w:style w:styleId="BodyText" w:type="paragraph">
    <w:name w:val="Body Text"/>
    <w:basedOn w:val="Normal"/>
    <w:uiPriority w:val="1"/>
    <w:qFormat/>
    <w:pPr/>
    <w:rPr>
      <w:rFonts w:ascii="Calibri" w:hAnsi="Calibri" w:eastAsia="Calibri" w:cs="Calibri"/>
      <w:sz w:val="22"/>
      <w:szCs w:val="22"/>
      <w:lang w:val="hu-HU" w:eastAsia="en-US" w:bidi="ar-SA"/>
    </w:rPr>
  </w:style>
  <w:style w:styleId="Heading1" w:type="paragraph">
    <w:name w:val="Heading 1"/>
    <w:basedOn w:val="Normal"/>
    <w:uiPriority w:val="1"/>
    <w:qFormat/>
    <w:pPr>
      <w:ind w:left="834" w:hanging="358"/>
      <w:outlineLvl w:val="1"/>
    </w:pPr>
    <w:rPr>
      <w:rFonts w:ascii="Cambria" w:hAnsi="Cambria" w:eastAsia="Cambria" w:cs="Cambria"/>
      <w:b/>
      <w:bCs/>
      <w:sz w:val="28"/>
      <w:szCs w:val="28"/>
      <w:lang w:val="hu-HU" w:eastAsia="en-US" w:bidi="ar-SA"/>
    </w:rPr>
  </w:style>
  <w:style w:styleId="Heading2" w:type="paragraph">
    <w:name w:val="Heading 2"/>
    <w:basedOn w:val="Normal"/>
    <w:uiPriority w:val="1"/>
    <w:qFormat/>
    <w:pPr>
      <w:ind w:left="599" w:hanging="483"/>
      <w:outlineLvl w:val="2"/>
    </w:pPr>
    <w:rPr>
      <w:rFonts w:ascii="Cambria" w:hAnsi="Cambria" w:eastAsia="Cambria" w:cs="Cambria"/>
      <w:b/>
      <w:bCs/>
      <w:sz w:val="26"/>
      <w:szCs w:val="26"/>
      <w:lang w:val="hu-HU" w:eastAsia="en-US" w:bidi="ar-SA"/>
    </w:rPr>
  </w:style>
  <w:style w:styleId="Heading3" w:type="paragraph">
    <w:name w:val="Heading 3"/>
    <w:basedOn w:val="Normal"/>
    <w:uiPriority w:val="1"/>
    <w:qFormat/>
    <w:pPr>
      <w:ind w:left="703" w:hanging="358"/>
      <w:outlineLvl w:val="3"/>
    </w:pPr>
    <w:rPr>
      <w:rFonts w:ascii="Calibri" w:hAnsi="Calibri" w:eastAsia="Calibri" w:cs="Calibri"/>
      <w:b/>
      <w:bCs/>
      <w:sz w:val="22"/>
      <w:szCs w:val="22"/>
      <w:lang w:val="hu-HU" w:eastAsia="en-US" w:bidi="ar-SA"/>
    </w:rPr>
  </w:style>
  <w:style w:styleId="Title" w:type="paragraph">
    <w:name w:val="Title"/>
    <w:basedOn w:val="Normal"/>
    <w:uiPriority w:val="1"/>
    <w:qFormat/>
    <w:pPr>
      <w:spacing w:before="76"/>
      <w:ind w:left="835" w:hanging="359"/>
    </w:pPr>
    <w:rPr>
      <w:rFonts w:ascii="Cambria" w:hAnsi="Cambria" w:eastAsia="Cambria" w:cs="Cambria"/>
      <w:sz w:val="32"/>
      <w:szCs w:val="32"/>
      <w:lang w:val="hu-HU" w:eastAsia="en-US" w:bidi="ar-SA"/>
    </w:rPr>
  </w:style>
  <w:style w:styleId="ListParagraph" w:type="paragraph">
    <w:name w:val="List Paragraph"/>
    <w:basedOn w:val="Normal"/>
    <w:uiPriority w:val="1"/>
    <w:qFormat/>
    <w:pPr>
      <w:ind w:left="836" w:hanging="360"/>
    </w:pPr>
    <w:rPr>
      <w:rFonts w:ascii="Calibri" w:hAnsi="Calibri" w:eastAsia="Calibri" w:cs="Calibri"/>
      <w:lang w:val="hu-HU" w:eastAsia="en-US" w:bidi="ar-SA"/>
    </w:rPr>
  </w:style>
  <w:style w:styleId="TableParagraph" w:type="paragraph">
    <w:name w:val="Table Paragraph"/>
    <w:basedOn w:val="Normal"/>
    <w:uiPriority w:val="1"/>
    <w:qFormat/>
    <w:pPr>
      <w:ind w:left="106"/>
    </w:pPr>
    <w:rPr>
      <w:rFonts w:ascii="Calibri" w:hAnsi="Calibri" w:eastAsia="Calibri" w:cs="Calibri"/>
      <w:lang w:val="hu-HU"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http://www.mediacomm.hu/targyalastechnika_minimba/?utm_source=etarget&amp;utm_medium=cpc&amp;utm_campaign=etarget" TargetMode="External"/><Relationship Id="rId7" Type="http://schemas.openxmlformats.org/officeDocument/2006/relationships/image" Target="media/image1.png"/><Relationship Id="rId8" Type="http://schemas.openxmlformats.org/officeDocument/2006/relationships/image" Target="media/image2.jpeg"/><Relationship Id="rId9" Type="http://schemas.openxmlformats.org/officeDocument/2006/relationships/image" Target="media/image3.png"/><Relationship Id="rId10" Type="http://schemas.openxmlformats.org/officeDocument/2006/relationships/image" Target="media/image4.jpeg"/><Relationship Id="rId1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Túri P.</dc:creator>
  <dcterms:created xsi:type="dcterms:W3CDTF">2024-05-04T14:52:47Z</dcterms:created>
  <dcterms:modified xsi:type="dcterms:W3CDTF">2024-05-04T14:52:47Z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2013-10-28T00:00:00Z</vt:filetime>
  </property>
  <property fmtid="{D5CDD505-2E9C-101B-9397-08002B2CF9AE}" pid="3" name="Creator">
    <vt:lpwstr>PDFsam Basic v4.1.3</vt:lpwstr>
  </property>
  <property fmtid="{D5CDD505-2E9C-101B-9397-08002B2CF9AE}" pid="4" name="LastSaved">
    <vt:filetime>2024-05-04T00:00:00Z</vt:filetime>
  </property>
  <property fmtid="{D5CDD505-2E9C-101B-9397-08002B2CF9AE}" pid="5" name="Producer">
    <vt:lpwstr>SAMBox 2.1.16</vt:lpwstr>
  </property>
</Properties>
</file>