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1"/>
        <w:rPr>
          <w:rFonts w:ascii="Helvetica" w:eastAsia="Times New Roman" w:hAnsi="Helvetica" w:cs="Helvetica"/>
          <w:b/>
          <w:bCs/>
          <w:color w:val="2B3E50"/>
          <w:sz w:val="36"/>
          <w:szCs w:val="36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36"/>
          <w:szCs w:val="36"/>
          <w:lang w:eastAsia="hu-HU"/>
        </w:rPr>
        <w:t>4.3. Befolyásolás a kommunikáció által</w:t>
      </w:r>
    </w:p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3"/>
        <w:rPr>
          <w:rFonts w:ascii="Helvetica" w:eastAsia="Times New Roman" w:hAnsi="Helvetica" w:cs="Helvetica"/>
          <w:b/>
          <w:bCs/>
          <w:color w:val="2B3E50"/>
          <w:sz w:val="24"/>
          <w:szCs w:val="24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24"/>
          <w:szCs w:val="24"/>
          <w:lang w:eastAsia="hu-HU"/>
        </w:rPr>
        <w:t>Célkitűzés</w:t>
      </w:r>
    </w:p>
    <w:p w:rsidR="008557E1" w:rsidRPr="008557E1" w:rsidRDefault="008557E1" w:rsidP="00855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lecke célja, hogy a hallgatók betekintést nyerjenek a befolyásolásra törő kommunikáció jellegzetességeibe, illetve</w:t>
      </w:r>
    </w:p>
    <w:p w:rsidR="008557E1" w:rsidRPr="008557E1" w:rsidRDefault="008557E1" w:rsidP="008557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megismerjék a befolyásolási technikák formáit, hatásait és jellemzőit.</w:t>
      </w:r>
    </w:p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3"/>
        <w:rPr>
          <w:rFonts w:ascii="Helvetica" w:eastAsia="Times New Roman" w:hAnsi="Helvetica" w:cs="Helvetica"/>
          <w:b/>
          <w:bCs/>
          <w:color w:val="2B3E50"/>
          <w:sz w:val="24"/>
          <w:szCs w:val="24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24"/>
          <w:szCs w:val="24"/>
          <w:lang w:eastAsia="hu-HU"/>
        </w:rPr>
        <w:t>Követelmények</w:t>
      </w:r>
    </w:p>
    <w:p w:rsidR="008557E1" w:rsidRPr="008557E1" w:rsidRDefault="008557E1" w:rsidP="00855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hallgató ismerje befolyásolásra törő kommunikáció megjelenési formáit.</w:t>
      </w:r>
    </w:p>
    <w:p w:rsidR="008557E1" w:rsidRPr="008557E1" w:rsidRDefault="008557E1" w:rsidP="00855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Legyen tisztában azzal, hogy a tanár oktató-nevelő munkájában milyen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interakciókkal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törekszik a befolyásolásra;</w:t>
      </w:r>
    </w:p>
    <w:p w:rsidR="008557E1" w:rsidRPr="008557E1" w:rsidRDefault="008557E1" w:rsidP="00855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hogy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nevelés, a pedagógiai kommunikáció szempontjából egyre fontosabb tényezővé válik;</w:t>
      </w:r>
    </w:p>
    <w:p w:rsidR="008557E1" w:rsidRPr="008557E1" w:rsidRDefault="008557E1" w:rsidP="00855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hogy a tömegkommunikáció velejárója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 Jelenléte, befolyása újabb kihívást jelent, melyre az iskolának, a pedagógusoknak fel kell készíteniük a tanulókat.</w:t>
      </w:r>
    </w:p>
    <w:p w:rsidR="008557E1" w:rsidRPr="008557E1" w:rsidRDefault="008557E1" w:rsidP="008557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Tudja megnevezni a meggyőző kommunikáció folyamatának lépéseit.</w:t>
      </w:r>
    </w:p>
    <w:p w:rsidR="008557E1" w:rsidRPr="008557E1" w:rsidRDefault="008557E1" w:rsidP="008557E1">
      <w:pPr>
        <w:shd w:val="clear" w:color="auto" w:fill="4582EC"/>
        <w:spacing w:before="240" w:after="240" w:line="240" w:lineRule="auto"/>
        <w:rPr>
          <w:rFonts w:ascii="Georgia" w:eastAsia="Times New Roman" w:hAnsi="Georgia" w:cs="Times New Roman"/>
          <w:color w:val="EEEEEE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EEEEEE"/>
          <w:sz w:val="24"/>
          <w:szCs w:val="24"/>
          <w:lang w:eastAsia="hu-HU"/>
        </w:rPr>
        <w:t>Tanulási idő: kb. 45 perc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Az emberi kommunikáció egyik sajátossága és törekvése a </w:t>
      </w: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befolyásolás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.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befolyásolás tartalmi jellege és megjelenési formája között szoros összefüggés van.</w:t>
      </w:r>
    </w:p>
    <w:p w:rsidR="008557E1" w:rsidRPr="008557E1" w:rsidRDefault="008557E1" w:rsidP="008557E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Megjelenési formái a következők:</w:t>
      </w:r>
    </w:p>
    <w:p w:rsidR="008557E1" w:rsidRPr="008557E1" w:rsidRDefault="008557E1" w:rsidP="00855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kényszerítés és kínálat,</w:t>
      </w:r>
    </w:p>
    <w:p w:rsidR="008557E1" w:rsidRPr="008557E1" w:rsidRDefault="008557E1" w:rsidP="00855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tömegkommunikáció,</w:t>
      </w:r>
    </w:p>
    <w:p w:rsidR="008557E1" w:rsidRPr="008557E1" w:rsidRDefault="008557E1" w:rsidP="008557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meggyőzés.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-Tóth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2005)</w:t>
      </w:r>
    </w:p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2"/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  <w:t>4.3.1. Kényszerítés és kínálat (parancs és utasítás, alku, vita, elfogadás)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 személyközi és a mediális kommunikáció magában foglalja a hatáskeltést. A tanár oktató-nevelő munkájában a következő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interakciók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legfőbb célja a befolyásolás:</w:t>
      </w:r>
    </w:p>
    <w:p w:rsidR="008557E1" w:rsidRPr="008557E1" w:rsidRDefault="008557E1" w:rsidP="00855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Parancs és utasítás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mely a kommunikációs viszonyon kívüli alá-fölérendeltségből meríti </w:t>
      </w: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hatóerejét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 Például: „Oldd meg a feladatot!”</w:t>
      </w:r>
    </w:p>
    <w:p w:rsidR="008557E1" w:rsidRPr="008557E1" w:rsidRDefault="008557E1" w:rsidP="00855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Alku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melyben elvileg egyenlő eséllyel képviselik érdekeiket a felek, és igyekeznek engedményekre rávenni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partner(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eke)t. Például: „Ha kiselőadást tartasz, javíthatsz az osztályzatodon!”</w:t>
      </w:r>
    </w:p>
    <w:p w:rsidR="008557E1" w:rsidRPr="008557E1" w:rsidRDefault="008557E1" w:rsidP="00855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Vita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mely része az alku típusú befolyásolásnak is, de amelyet tiszta formájában nem az érdekek vezérelnek, hanem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probléma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megoldásra törekvés. Tudományos vitákban pedig az igazság megállapítása, jogi vitákban az igazságosság és törvényesség elve. Például egy vitaindító kiselőadás után a tanulók összevethetik tapasztalataikat.</w:t>
      </w:r>
    </w:p>
    <w:p w:rsidR="008557E1" w:rsidRPr="008557E1" w:rsidRDefault="008557E1" w:rsidP="008557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Elfogadás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melyhez társulhat vita is, de amely lényege szerint egyirányú. Például munka- és balesetvédelmi szabályok elfogadása és betartása.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lastRenderedPageBreak/>
        <w:t>A befolyásolás sikerét meghatározza az, hogy a partner üzeneteit megfelelően értelmezik-e (dekódolják).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 xml:space="preserve"> - 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2005; 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Zrinszky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,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 2002)</w:t>
      </w:r>
    </w:p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2"/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  <w:t>4.3.2. Tömegkommunikáció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 tömegkommunikáció az elmúlt évtizedekben jelentős változásokon ment át. Az elektronikus tömegközlési eszközök által rövid idő alatt emberek millióihoz jut el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.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nevelés, a pedagógiai kommunikáció szempontjából egyre fontosabb tényezővé válik.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mint új érték jelent meg, mely alakítani, formálni tudja az emberek tudatát.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információk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sokasága jut el az emberekhez, és nekik el kell igazodni közöttük. Erre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globális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információ-áradatra a társadalom nincs felkészülve. Egymásnak ellentmondó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információkat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kaphatnak (pl. a táplálkozási és alkoholreklámok szemben állnak az egészséges életmóddal). Az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információk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alapján gyakran döntés elé kerülnek az emberek. Ehhez azonban meg kell érteni az adott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információt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. A világot uraló állandó és folyamatos, vagy akciószerű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jelenléte, befolyása újabb kihívást jelent, melyre az iskolának, a pedagógusoknak fel kell készíteniük a tanulókat.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Segíteni kell a fiatalokat (és a szüleiket) abban is, hogy el tudják dönteni, a világ olyan-e, amilyennek a média (TV, mozi, rádió stb.) mutatja, vagy olyan, amilyennek az iskolában, a tanárok magyarázataiból megismeri, továbbá, hogy milyen filmeket, műsorokat válasszon a kínálatból. </w:t>
      </w:r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Marx György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 szerint az az ország, amely megtalálja a pedagógiai megoldást erre, az lesz a jövő évszázadban a szuperhatalom.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 xml:space="preserve"> - 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2005)</w:t>
      </w:r>
    </w:p>
    <w:p w:rsidR="008557E1" w:rsidRPr="008557E1" w:rsidRDefault="008557E1" w:rsidP="008557E1">
      <w:pPr>
        <w:shd w:val="clear" w:color="auto" w:fill="F0AD4E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  <w:t> Feladat</w:t>
      </w:r>
    </w:p>
    <w:p w:rsidR="008557E1" w:rsidRPr="008557E1" w:rsidRDefault="008557E1" w:rsidP="008557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Tekintse meg az alábbi oktatóvideót a tömegkommunikáció jellemzőiről, és figyelje meg, milyen hatást gyakorol a gondolkodásra és a nyelvre! </w:t>
      </w:r>
      <w:hyperlink r:id="rId5" w:tgtFrame="_new" w:history="1">
        <w:r w:rsidRPr="008557E1">
          <w:rPr>
            <w:rFonts w:ascii="Georgia" w:eastAsia="Times New Roman" w:hAnsi="Georgia" w:cs="Times New Roman"/>
            <w:color w:val="4582EC"/>
            <w:sz w:val="24"/>
            <w:szCs w:val="24"/>
            <w:u w:val="single"/>
            <w:lang w:eastAsia="hu-HU"/>
          </w:rPr>
          <w:t>http://zanza.tv/magyar-nyelv/kommunikacio/tomegkommunikacio-hatasa-gondolkodasra-es-nyelvre</w:t>
        </w:r>
      </w:hyperlink>
    </w:p>
    <w:p w:rsidR="008557E1" w:rsidRPr="008557E1" w:rsidRDefault="008557E1" w:rsidP="008557E1">
      <w:pPr>
        <w:shd w:val="clear" w:color="auto" w:fill="F5F5F5"/>
        <w:spacing w:before="360" w:after="165" w:line="240" w:lineRule="auto"/>
        <w:outlineLvl w:val="2"/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2B3E50"/>
          <w:sz w:val="27"/>
          <w:szCs w:val="27"/>
          <w:lang w:eastAsia="hu-HU"/>
        </w:rPr>
        <w:t>4.3.3.Meggyőzés</w:t>
      </w:r>
    </w:p>
    <w:p w:rsidR="008557E1" w:rsidRPr="008557E1" w:rsidRDefault="008557E1" w:rsidP="008557E1">
      <w:pPr>
        <w:shd w:val="clear" w:color="auto" w:fill="D9EDF7"/>
        <w:spacing w:after="12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  <w:t> </w:t>
      </w:r>
      <w:proofErr w:type="gramStart"/>
      <w:r w:rsidRPr="008557E1"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  <w:t>Definíció</w:t>
      </w:r>
      <w:proofErr w:type="gramEnd"/>
    </w:p>
    <w:p w:rsidR="008557E1" w:rsidRPr="008557E1" w:rsidRDefault="008557E1" w:rsidP="008557E1">
      <w:pPr>
        <w:shd w:val="clear" w:color="auto" w:fill="D9EDF7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 </w:t>
      </w: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meggyőzés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 a befolyásolás azon módja, amelyben az érvelés dominál, és ennek segítségével próbál másokat valamilyen belátásra bírni.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Zrinszky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2002)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tanári kommunikáció ebben az esetben meggyőzés kialakítására, megerősítésére vagy megváltoztatására irányul. Ez általában hosszadalmas folyamat. A valódi meggyőzést követően annak megváltoztatása nehéz, sok energiát igényel. Ellenkező esetben csak a vélt vagy valódi elvárásokhoz történő alkalmazkodásról, esetleg felületes elfogadásról, vagy a meggyőzés kezdeti fázisáról beszélhetünk.</w:t>
      </w:r>
    </w:p>
    <w:p w:rsidR="008557E1" w:rsidRPr="008557E1" w:rsidRDefault="008557E1" w:rsidP="008557E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 xml:space="preserve">A meggyőződések fejlődése három </w:t>
      </w:r>
      <w:proofErr w:type="gramStart"/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tipikus</w:t>
      </w:r>
      <w:proofErr w:type="gramEnd"/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 xml:space="preserve"> szakaszra osztható fel:</w:t>
      </w:r>
    </w:p>
    <w:p w:rsidR="008557E1" w:rsidRPr="008557E1" w:rsidRDefault="008557E1" w:rsidP="00855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A szituatív jellegű elfogadás fázisa: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helyzet hív elő valamilyen elgondolást,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interiorizáció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(belsővé tétel) nem következett be,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nem működik meggyőzésként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problémás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helyzetekben.</w:t>
      </w:r>
    </w:p>
    <w:p w:rsidR="008557E1" w:rsidRPr="008557E1" w:rsidRDefault="008557E1" w:rsidP="00855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proofErr w:type="gramStart"/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stabilizálódás</w:t>
      </w:r>
      <w:proofErr w:type="gramEnd"/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 xml:space="preserve"> fázisa: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kevésbé függ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konkrét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szituációtól,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az akarat még nincs oly mértékben jelen, hogy a felmerülő akadályt legyőzze.</w:t>
      </w:r>
    </w:p>
    <w:p w:rsidR="008557E1" w:rsidRPr="008557E1" w:rsidRDefault="008557E1" w:rsidP="008557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Az alapelvvé válás fázisa:</w:t>
      </w:r>
    </w:p>
    <w:p w:rsidR="008557E1" w:rsidRPr="008557E1" w:rsidRDefault="008557E1" w:rsidP="008557E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lastRenderedPageBreak/>
        <w:t xml:space="preserve">kialakul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stabil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valódi meggyőzés.</w:t>
      </w:r>
    </w:p>
    <w:p w:rsidR="008557E1" w:rsidRPr="008557E1" w:rsidRDefault="008557E1" w:rsidP="008557E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A meggyőző kommunikáció folyamatát, egyben eredményességét 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McGuire</w:t>
      </w:r>
      <w:proofErr w:type="spellEnd"/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 az alábbi 12 pontban foglalta össze (idézi: 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Zrinszky</w:t>
      </w:r>
      <w:proofErr w:type="spellEnd"/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, 2002):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„Elérjen a kommunikáció.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Odafigyeljek rá.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Kedveljem meg, keltsen érdeklődést.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Értsem meg, hogy mi az.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Ismerjem meg a mikéntjét.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Fogadjam el (attitűdváltozás).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 xml:space="preserve">Véssem az emlékezetembe és/vagy </w:t>
      </w: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értsek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egyet vele.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 xml:space="preserve">Kövesse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-keresés és visszaszerzés.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 xml:space="preserve">Döntés a visszakeresett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információ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alapján.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A döntésnek megfelelő magatartás.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A kívánt tettek megerősítése.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br/>
        <w:t>Megszilárdulás”.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Az ismeretek elsajátítása során a meggyőzés egyik fontos feltétele, hogy a tanulók megértsék azt a logikai utat, mely bizonyos eszmék, elvek kialakulásához vezet.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meggyőzést feltétlenül fontos megkülönböztetni a rábeszéléstől. A </w:t>
      </w: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meggyőzés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 folyamán logikai érvek segítségével törekszik a pedagógus a tartós hatás elérésére, feltételezve a </w:t>
      </w: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viszontérvelést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is. A </w:t>
      </w: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rábeszélés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 pedig azonnali eredményt szeretne elérni, akár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korrekt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érvelést is mellőzve, és nem válogat az eszközökben.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meggyőzés lényegi eleme, hogy az egyén </w:t>
      </w:r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interiorizálja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 – belsőjévé teszi – a megismert tényeket, dolgokat, tehát kialakul a meggyőződése. A meggyőzés alapja a felek közötti pozitív érzelmi kapcsolat.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 xml:space="preserve"> - 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2005)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túlságosan nyilvánvaló befolyásolási szándék ellenállást válthat ki, ezért a „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direkt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nevelési metodika egyre inkább háttérbe szorul”. Felfokozott ellenállást, dühöt vált ki az érintettekből az eltitkolt befolyási szándék, a </w:t>
      </w:r>
      <w:proofErr w:type="gramStart"/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</w:t>
      </w:r>
    </w:p>
    <w:p w:rsidR="008557E1" w:rsidRPr="008557E1" w:rsidRDefault="008557E1" w:rsidP="008557E1">
      <w:pPr>
        <w:shd w:val="clear" w:color="auto" w:fill="D9EDF7"/>
        <w:spacing w:after="120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  <w:t> </w:t>
      </w:r>
      <w:proofErr w:type="gramStart"/>
      <w:r w:rsidRPr="008557E1">
        <w:rPr>
          <w:rFonts w:ascii="Georgia" w:eastAsia="Times New Roman" w:hAnsi="Georgia" w:cs="Times New Roman"/>
          <w:color w:val="666666"/>
          <w:sz w:val="24"/>
          <w:szCs w:val="24"/>
          <w:lang w:eastAsia="hu-HU"/>
        </w:rPr>
        <w:t>Definíció</w:t>
      </w:r>
      <w:proofErr w:type="gramEnd"/>
    </w:p>
    <w:p w:rsidR="008557E1" w:rsidRPr="008557E1" w:rsidRDefault="008557E1" w:rsidP="008557E1">
      <w:pPr>
        <w:shd w:val="clear" w:color="auto" w:fill="D9EDF7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 </w:t>
      </w:r>
      <w:proofErr w:type="gramStart"/>
      <w:r w:rsidRPr="008557E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 az emberi kapcsolatoknak az a formája, amikor az egyik fél a másikat eszközként használja saját céljainak elérésére, saját szükségleteinek kielégítésére. Ezt azonban nem erőszakkal éri el, hanem megfelelő érveléssel – saját érdekét közös érdekként vagy a másik érdekeként tünteti fel.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Oakwood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1992)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Legcélravezetőbb, ha nem rejtegeti a pedagógus a befolyásolási szándékát, ugyanakkor nem kritizálja az érintett személy eddigi nézeteit, beállítódását. Az életkori összefüggések figyelembe vétele nagyon fontos:</w:t>
      </w:r>
    </w:p>
    <w:p w:rsidR="008557E1" w:rsidRPr="008557E1" w:rsidRDefault="008557E1" w:rsidP="0085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gyermekek esetén a valódi meggyőzés nehézkes, hiszen attitűd-rendszerük kiépülése folyamatban van, az alig tudatos, érzelmi reakciók dominálnak;</w:t>
      </w:r>
    </w:p>
    <w:p w:rsidR="008557E1" w:rsidRPr="008557E1" w:rsidRDefault="008557E1" w:rsidP="0085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serdülőkorban a meggyőző kommunikáció már sikeres lehet, azonban az önállósodási, énazonosság-keresési törekvések befolyásolhatják;</w:t>
      </w:r>
    </w:p>
    <w:p w:rsidR="008557E1" w:rsidRPr="008557E1" w:rsidRDefault="008557E1" w:rsidP="0085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felnőttek többsége igyekszik megőrizni attitűdjeit, ha mégis elkerülhetetlen, akkor „kimagyarázó indoklással” élnek. A fiatal felnőtteknél könnyebben elérhető az attitűdváltás, mint az idősebbeknél.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 xml:space="preserve"> - 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2005)</w:t>
      </w:r>
    </w:p>
    <w:p w:rsidR="008557E1" w:rsidRPr="008557E1" w:rsidRDefault="008557E1" w:rsidP="008557E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hu-HU"/>
        </w:rPr>
        <w:t>A meggyőzés a csoport-egyén viszonya szempontjából:</w:t>
      </w:r>
    </w:p>
    <w:p w:rsidR="008557E1" w:rsidRPr="008557E1" w:rsidRDefault="008557E1" w:rsidP="008557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lastRenderedPageBreak/>
        <w:t>Az egyén részvételének biztosítása a csoportdöntésekben (pl. a csoport szabályainak megalkotása a diákokkal közösen).</w:t>
      </w:r>
    </w:p>
    <w:p w:rsidR="008557E1" w:rsidRPr="008557E1" w:rsidRDefault="008557E1" w:rsidP="008557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 csoport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normáival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ellentétes kommunikációval kevésbé befolyásolhatók azok a személyek, akik a csoporthoz ragaszkodnak (pl. egy elkötelezett keresztény gyülekezeti tag nehezen beszélhető rá a kábítószerek kipróbálására).</w:t>
      </w:r>
    </w:p>
    <w:p w:rsidR="008557E1" w:rsidRPr="008557E1" w:rsidRDefault="008557E1" w:rsidP="008557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Nehezen változtathatók azok a vélemények, amelyeket egy általa elfogadott, mértékadó csoportban érvényesek.</w:t>
      </w:r>
    </w:p>
    <w:p w:rsidR="008557E1" w:rsidRPr="008557E1" w:rsidRDefault="008557E1" w:rsidP="008557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Néhány emberből álló kisebbség is képes befolyásolni a csoportot, ha következetesen szembeszáll a többség véleményével (pl. a hangadók „elcsábíthatják” a többieket az utolsó óráról moziba).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 meggyőzés akkor eredményes, ha a partnerek visszajelzéseit nyomon tudjuk követni. Ennek egyik legfontosabb eszköze a nyelvi </w:t>
      </w: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kifejeződés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 A meggyőzés folyamatában a visszacsatolások átgondolt rendszerére van szükség. (</w:t>
      </w:r>
      <w:proofErr w:type="spellStart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>Szecsei</w:t>
      </w:r>
      <w:proofErr w:type="spellEnd"/>
      <w:r w:rsidRPr="008557E1">
        <w:rPr>
          <w:rFonts w:ascii="Georgia" w:eastAsia="Times New Roman" w:hAnsi="Georgia" w:cs="Times New Roman"/>
          <w:i/>
          <w:iCs/>
          <w:color w:val="76923C"/>
          <w:sz w:val="24"/>
          <w:szCs w:val="24"/>
          <w:lang w:eastAsia="hu-HU"/>
        </w:rPr>
        <w:t xml:space="preserve"> - Tóth</w:t>
      </w: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2005)</w:t>
      </w:r>
    </w:p>
    <w:p w:rsidR="008557E1" w:rsidRPr="008557E1" w:rsidRDefault="008557E1" w:rsidP="008557E1">
      <w:pPr>
        <w:shd w:val="clear" w:color="auto" w:fill="F0AD4E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  <w:t> Feladat</w:t>
      </w:r>
    </w:p>
    <w:p w:rsidR="008557E1" w:rsidRPr="008557E1" w:rsidRDefault="008557E1" w:rsidP="008557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Tekintse meg a „Jó szónok és jó beszéd” című videót a </w:t>
      </w:r>
      <w:hyperlink r:id="rId6" w:tgtFrame="_new" w:history="1">
        <w:r w:rsidRPr="008557E1">
          <w:rPr>
            <w:rFonts w:ascii="Georgia" w:eastAsia="Times New Roman" w:hAnsi="Georgia" w:cs="Times New Roman"/>
            <w:color w:val="4582EC"/>
            <w:sz w:val="24"/>
            <w:szCs w:val="24"/>
            <w:u w:val="single"/>
            <w:lang w:eastAsia="hu-HU"/>
          </w:rPr>
          <w:t>http://zanza.tv/magyar-nyelv/retorika/jo-szonok-es-jo-beszed</w:t>
        </w:r>
      </w:hyperlink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 weboldalon, és figyelje meg, hogy mi </w:t>
      </w:r>
      <w:proofErr w:type="spell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jellemzi</w:t>
      </w:r>
      <w:proofErr w:type="spell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jó szónokot és a jó beszédet, hogyan lehet hatékony a meggyőzés.</w:t>
      </w:r>
    </w:p>
    <w:p w:rsidR="008557E1" w:rsidRPr="008557E1" w:rsidRDefault="008557E1" w:rsidP="008557E1">
      <w:pPr>
        <w:shd w:val="clear" w:color="auto" w:fill="F0AD4E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  <w:t> Feladat</w:t>
      </w:r>
    </w:p>
    <w:p w:rsidR="008557E1" w:rsidRPr="008557E1" w:rsidRDefault="008557E1" w:rsidP="008557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Tekintse meg a „Hitelesség, hatás, meggyőzés,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” című oktatóvideót, amely a </w:t>
      </w:r>
      <w:hyperlink r:id="rId7" w:tgtFrame="_new" w:history="1">
        <w:r w:rsidRPr="008557E1">
          <w:rPr>
            <w:rFonts w:ascii="Georgia" w:eastAsia="Times New Roman" w:hAnsi="Georgia" w:cs="Times New Roman"/>
            <w:color w:val="4582EC"/>
            <w:sz w:val="24"/>
            <w:szCs w:val="24"/>
            <w:u w:val="single"/>
            <w:lang w:eastAsia="hu-HU"/>
          </w:rPr>
          <w:t>http://zanza.tv/magyar-nyelv/kommunikacio/hitelesseg-hatas-meggyozes-manipulacio</w:t>
        </w:r>
      </w:hyperlink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 weboldalon található! Figyelje meg a meggyőzés, a befolyásolás és a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jellegzetességeit!</w:t>
      </w:r>
    </w:p>
    <w:p w:rsidR="008557E1" w:rsidRPr="008557E1" w:rsidRDefault="008557E1" w:rsidP="008557E1">
      <w:pPr>
        <w:shd w:val="clear" w:color="auto" w:fill="3FAD46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</w:pPr>
      <w:r w:rsidRPr="008557E1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hu-HU"/>
        </w:rPr>
        <w:t> Összefoglaló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lecke bemutatta a befolyásolásra törő kommunikáció jellegzetességeit, valamint a befolyásolási technikák formáit, hatásait és jellemzőit.</w:t>
      </w:r>
    </w:p>
    <w:p w:rsidR="008557E1" w:rsidRPr="008557E1" w:rsidRDefault="008557E1" w:rsidP="008557E1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Ismertette, hogy a tanár az oktató-nevelő munkája során milyen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interakciókkal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törekszik a befolyásolásra.</w:t>
      </w:r>
    </w:p>
    <w:p w:rsidR="008557E1" w:rsidRPr="008557E1" w:rsidRDefault="008557E1" w:rsidP="008557E1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Rámutatott a kényszerítés és kínálat, a tömegkommunikáció és a vele együtt járó </w:t>
      </w:r>
      <w:proofErr w:type="gramStart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manipuláció</w:t>
      </w:r>
      <w:proofErr w:type="gramEnd"/>
      <w:r w:rsidRPr="008557E1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illetve a meggyőzés során hogyan nyilvánul meg a kommunikáció általi befolyásolás.</w:t>
      </w:r>
    </w:p>
    <w:p w:rsidR="00F94873" w:rsidRDefault="00F94873">
      <w:bookmarkStart w:id="0" w:name="_GoBack"/>
      <w:bookmarkEnd w:id="0"/>
    </w:p>
    <w:sectPr w:rsidR="00F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4DD"/>
    <w:multiLevelType w:val="multilevel"/>
    <w:tmpl w:val="46C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4B66"/>
    <w:multiLevelType w:val="multilevel"/>
    <w:tmpl w:val="89F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5898"/>
    <w:multiLevelType w:val="multilevel"/>
    <w:tmpl w:val="2D7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6B0A"/>
    <w:multiLevelType w:val="multilevel"/>
    <w:tmpl w:val="608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36048"/>
    <w:multiLevelType w:val="multilevel"/>
    <w:tmpl w:val="FE1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512A7"/>
    <w:multiLevelType w:val="multilevel"/>
    <w:tmpl w:val="994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F6E31"/>
    <w:multiLevelType w:val="multilevel"/>
    <w:tmpl w:val="204C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1"/>
    <w:rsid w:val="008557E1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C53A3-E82A-44E6-8CE4-900D86C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55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55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855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557E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557E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557E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tanido">
    <w:name w:val="tanido"/>
    <w:basedOn w:val="Norml"/>
    <w:rsid w:val="008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57E1"/>
    <w:rPr>
      <w:b/>
      <w:bCs/>
    </w:rPr>
  </w:style>
  <w:style w:type="paragraph" w:customStyle="1" w:styleId="felsorolascim">
    <w:name w:val="felsorolascim"/>
    <w:basedOn w:val="Norml"/>
    <w:rsid w:val="008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emelynev">
    <w:name w:val="szemelynev"/>
    <w:basedOn w:val="Bekezdsalapbettpusa"/>
    <w:rsid w:val="008557E1"/>
  </w:style>
  <w:style w:type="character" w:customStyle="1" w:styleId="bekuldhead">
    <w:name w:val="bekuldhead"/>
    <w:basedOn w:val="Bekezdsalapbettpusa"/>
    <w:rsid w:val="008557E1"/>
  </w:style>
  <w:style w:type="paragraph" w:customStyle="1" w:styleId="bekuldszov">
    <w:name w:val="bekuldszov"/>
    <w:basedOn w:val="Norml"/>
    <w:rsid w:val="008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57E1"/>
    <w:rPr>
      <w:color w:val="0000FF"/>
      <w:u w:val="single"/>
    </w:rPr>
  </w:style>
  <w:style w:type="character" w:customStyle="1" w:styleId="osszefoglhead">
    <w:name w:val="osszefoglhead"/>
    <w:basedOn w:val="Bekezdsalapbettpusa"/>
    <w:rsid w:val="008557E1"/>
  </w:style>
  <w:style w:type="paragraph" w:customStyle="1" w:styleId="osszefoglszov">
    <w:name w:val="osszefoglszov"/>
    <w:basedOn w:val="Norml"/>
    <w:rsid w:val="008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141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697512913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422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05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5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64547290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744883786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1453205900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1965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409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1565217110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2105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0280">
          <w:marLeft w:val="0"/>
          <w:marRight w:val="0"/>
          <w:marTop w:val="0"/>
          <w:marBottom w:val="330"/>
          <w:divBdr>
            <w:top w:val="single" w:sz="6" w:space="0" w:color="3FAD46"/>
            <w:left w:val="single" w:sz="6" w:space="0" w:color="3FAD46"/>
            <w:bottom w:val="single" w:sz="6" w:space="0" w:color="3FAD46"/>
            <w:right w:val="single" w:sz="6" w:space="0" w:color="3FAD46"/>
          </w:divBdr>
          <w:divsChild>
            <w:div w:id="2069573237">
              <w:marLeft w:val="0"/>
              <w:marRight w:val="0"/>
              <w:marTop w:val="0"/>
              <w:marBottom w:val="0"/>
              <w:divBdr>
                <w:top w:val="none" w:sz="0" w:space="8" w:color="3FAD46"/>
                <w:left w:val="none" w:sz="0" w:space="11" w:color="3FAD46"/>
                <w:bottom w:val="single" w:sz="6" w:space="8" w:color="3FAD46"/>
                <w:right w:val="none" w:sz="0" w:space="11" w:color="3FAD46"/>
              </w:divBdr>
            </w:div>
            <w:div w:id="13352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za.tv/magyar-nyelv/kommunikacio/hitelesseg-hatas-meggyozes-manipula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nza.tv/magyar-nyelv/retorika/jo-szonok-es-jo-beszed" TargetMode="External"/><Relationship Id="rId5" Type="http://schemas.openxmlformats.org/officeDocument/2006/relationships/hyperlink" Target="http://zanza.tv/magyar-nyelv/kommunikacio/tomegkommunikacio-hatasa-gondolkodasra-es-nyelv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1</cp:revision>
  <dcterms:created xsi:type="dcterms:W3CDTF">2020-04-14T16:53:00Z</dcterms:created>
  <dcterms:modified xsi:type="dcterms:W3CDTF">2020-04-14T16:54:00Z</dcterms:modified>
</cp:coreProperties>
</file>